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:rsidR="00444CD7" w:rsidRDefault="00444CD7" w:rsidP="00444CD7">
      <w:pPr>
        <w:spacing w:after="0" w:line="240" w:lineRule="auto"/>
        <w:contextualSpacing/>
        <w:jc w:val="both"/>
      </w:pPr>
      <w:r>
        <w:t xml:space="preserve">Sveučilište u Zagrebu, Geotehnički fakultet, Varaždin, </w:t>
      </w:r>
      <w:proofErr w:type="spellStart"/>
      <w:r>
        <w:t>Hallerova</w:t>
      </w:r>
      <w:proofErr w:type="spellEnd"/>
      <w:r>
        <w:t xml:space="preserve"> aleja 7, OIB: 16146181375.</w:t>
      </w:r>
    </w:p>
    <w:p w:rsidR="00444CD7" w:rsidRDefault="00444CD7" w:rsidP="00444CD7">
      <w:pPr>
        <w:spacing w:after="0" w:line="240" w:lineRule="auto"/>
        <w:contextualSpacing/>
        <w:jc w:val="both"/>
      </w:pPr>
      <w:r>
        <w:t xml:space="preserve">Fakultet izvodi nastavu na preddiplomskom, diplomskom i doktorskom studiju. U 2020. godini Fakultet je ugovorio četiri projekta koji se financiraju iz EU fondova. Za </w:t>
      </w:r>
      <w:r w:rsidR="009F7213">
        <w:t>EU</w:t>
      </w:r>
      <w:r>
        <w:t xml:space="preserve"> projekte</w:t>
      </w:r>
      <w:r w:rsidR="00A812F0">
        <w:t xml:space="preserve"> nisu</w:t>
      </w:r>
      <w:r>
        <w:t xml:space="preserve"> planirana su sredstva za 202</w:t>
      </w:r>
      <w:r w:rsidR="00A812F0">
        <w:t>4</w:t>
      </w:r>
      <w:r>
        <w:t>. godinu</w:t>
      </w:r>
      <w:r w:rsidR="00A812F0">
        <w:t>, jer će projekti biti završeni do kraja 2023. godine</w:t>
      </w:r>
      <w:r>
        <w:t xml:space="preserve"> </w:t>
      </w:r>
    </w:p>
    <w:p w:rsidR="00444CD7" w:rsidRDefault="00444CD7" w:rsidP="00444CD7">
      <w:pPr>
        <w:spacing w:after="0" w:line="240" w:lineRule="auto"/>
        <w:contextualSpacing/>
        <w:jc w:val="both"/>
      </w:pPr>
      <w:r>
        <w:t>Fakultet ima i stručnu suradnju s gospodarstvom, te se izvode znanstvena i stručna istraživanja iz geotehnike, hidrotehnike i inženjerstva okoliša.</w:t>
      </w:r>
    </w:p>
    <w:p w:rsidR="009F7213" w:rsidRDefault="009F7213" w:rsidP="00444CD7">
      <w:pPr>
        <w:spacing w:after="0" w:line="240" w:lineRule="auto"/>
        <w:contextualSpacing/>
        <w:jc w:val="both"/>
      </w:pPr>
    </w:p>
    <w:p w:rsidR="009F7213" w:rsidRPr="009F7213" w:rsidRDefault="009F7213" w:rsidP="009F7213">
      <w:pPr>
        <w:spacing w:after="0" w:line="240" w:lineRule="auto"/>
        <w:contextualSpacing/>
        <w:jc w:val="both"/>
      </w:pPr>
      <w:r>
        <w:t>A</w:t>
      </w:r>
      <w:r w:rsidRPr="009F7213">
        <w:t>ktivnosti programskog financiranja bit će usklađene s aktualnom Strategijom razvoja GFV-a (2023-2027) i aktualnom Znanstveno-istraživačkom strategijom GFV-a (2023-2027), usvojenima prije dobivanja navedenih uputa, ali koje će se prilikom sklapanja, odnosno pregovaranja o programskim ugovorima po potrebi doraditi i uskladiti s Katalogom ciljeva i pokazatelja MZO-a, posebice  s Nacionalnom razvojnom strategijom (NRS 2030.), Strategijom pametne specijalizacije (S3 2029),  Nacionalnim planom razvoja sustava obrazovanja za razdoblje od 2021. do 2027. godine (NPRSO) te  Nacionalnim planom oporavka i otpornosti 2021.-2026. (NPOO).</w:t>
      </w:r>
    </w:p>
    <w:p w:rsidR="009F7213" w:rsidRPr="009F7213" w:rsidRDefault="009F7213" w:rsidP="009F7213">
      <w:pPr>
        <w:spacing w:after="0" w:line="240" w:lineRule="auto"/>
        <w:contextualSpacing/>
        <w:jc w:val="both"/>
      </w:pPr>
      <w:r w:rsidRPr="009F7213">
        <w:br/>
      </w:r>
    </w:p>
    <w:p w:rsidR="00220BF7" w:rsidRPr="00B7416B" w:rsidRDefault="00220BF7" w:rsidP="00220BF7">
      <w:pPr>
        <w:spacing w:after="0" w:line="240" w:lineRule="auto"/>
        <w:contextualSpacing/>
        <w:jc w:val="both"/>
      </w:pPr>
    </w:p>
    <w:p w:rsidR="00BB47B9" w:rsidRDefault="00BB47B9" w:rsidP="00BB47B9">
      <w:pPr>
        <w:jc w:val="both"/>
      </w:pPr>
    </w:p>
    <w:p w:rsidR="00F815A6" w:rsidRPr="009D005B" w:rsidRDefault="00444CD7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0" w:name="_Hlk115678458"/>
      <w:r>
        <w:rPr>
          <w:b/>
          <w:sz w:val="28"/>
        </w:rPr>
        <w:t>A621001 Redovna aktivnost Sveučilišta u Zagrebu i A622122 Programsko financiranje javnih visokih učilišta</w:t>
      </w:r>
    </w:p>
    <w:p w:rsidR="00F815A6" w:rsidRPr="009D005B" w:rsidRDefault="00F815A6" w:rsidP="00F815A6">
      <w:pPr>
        <w:jc w:val="both"/>
      </w:pPr>
      <w:r w:rsidRPr="009D005B">
        <w:t>Obrazac za unos teksta:</w:t>
      </w:r>
    </w:p>
    <w:p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:rsidR="001B0F7A" w:rsidRDefault="001B0F7A" w:rsidP="001B0F7A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:rsidR="00F815A6" w:rsidRPr="009D005B" w:rsidRDefault="003239CD" w:rsidP="003239CD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:rsidR="00F815A6" w:rsidRPr="003239CD" w:rsidRDefault="003239CD" w:rsidP="003239CD">
      <w:pPr>
        <w:pStyle w:val="Odlomakpopisa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7"/>
        <w:gridCol w:w="1234"/>
        <w:gridCol w:w="1235"/>
        <w:gridCol w:w="1235"/>
        <w:gridCol w:w="1234"/>
        <w:gridCol w:w="1235"/>
        <w:gridCol w:w="1192"/>
      </w:tblGrid>
      <w:tr w:rsidR="00D97996" w:rsidRPr="009D005B" w:rsidTr="00857619">
        <w:tc>
          <w:tcPr>
            <w:tcW w:w="1838" w:type="dxa"/>
            <w:shd w:val="clear" w:color="auto" w:fill="D0CECE" w:themeFill="background2" w:themeFillShade="E6"/>
          </w:tcPr>
          <w:p w:rsidR="00F815A6" w:rsidRPr="009D005B" w:rsidRDefault="00F815A6" w:rsidP="00857619">
            <w:pPr>
              <w:jc w:val="both"/>
            </w:pPr>
          </w:p>
          <w:p w:rsidR="00F815A6" w:rsidRPr="009D005B" w:rsidRDefault="00F815A6" w:rsidP="00857619">
            <w:pPr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F815A6" w:rsidRPr="009D005B" w:rsidRDefault="00030327" w:rsidP="00857619">
            <w:pPr>
              <w:jc w:val="center"/>
            </w:pPr>
            <w:r>
              <w:t>Izvršenje 202</w:t>
            </w:r>
            <w:r w:rsidR="0082006A">
              <w:t>2</w:t>
            </w:r>
            <w:r w:rsidR="00F815A6"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857619">
            <w:pPr>
              <w:jc w:val="center"/>
            </w:pPr>
            <w:r w:rsidRPr="009D005B">
              <w:t>Plan 20</w:t>
            </w:r>
            <w:r w:rsidR="00030327">
              <w:t>2</w:t>
            </w:r>
            <w:r w:rsidR="0082006A">
              <w:t>3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857619">
            <w:pPr>
              <w:jc w:val="center"/>
            </w:pPr>
            <w:r w:rsidRPr="009D005B">
              <w:t>Plan 202</w:t>
            </w:r>
            <w:r w:rsidR="0082006A">
              <w:t>4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857619">
            <w:pPr>
              <w:jc w:val="center"/>
            </w:pPr>
            <w:r w:rsidRPr="009D005B">
              <w:t>Plan 202</w:t>
            </w:r>
            <w:r w:rsidR="0082006A">
              <w:t>5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857619">
            <w:pPr>
              <w:jc w:val="center"/>
            </w:pPr>
            <w:r w:rsidRPr="009D005B">
              <w:t>Plan 202</w:t>
            </w:r>
            <w:r w:rsidR="0082006A">
              <w:t>6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857619">
            <w:pPr>
              <w:jc w:val="center"/>
            </w:pPr>
            <w:r w:rsidRPr="009D005B">
              <w:t>Indeks 2</w:t>
            </w:r>
            <w:r w:rsidR="0082006A">
              <w:t>4</w:t>
            </w:r>
            <w:r w:rsidRPr="009D005B">
              <w:t>./</w:t>
            </w:r>
            <w:r w:rsidR="00030327">
              <w:t>2</w:t>
            </w:r>
            <w:r w:rsidR="0082006A">
              <w:t>3</w:t>
            </w:r>
            <w:r w:rsidRPr="009D005B">
              <w:t>.</w:t>
            </w:r>
          </w:p>
        </w:tc>
      </w:tr>
      <w:tr w:rsidR="00444CD7" w:rsidRPr="009D005B" w:rsidTr="00857619">
        <w:tc>
          <w:tcPr>
            <w:tcW w:w="1838" w:type="dxa"/>
          </w:tcPr>
          <w:p w:rsidR="00F815A6" w:rsidRPr="009D005B" w:rsidRDefault="00444CD7" w:rsidP="00857619">
            <w:r>
              <w:t>A621001</w:t>
            </w:r>
          </w:p>
        </w:tc>
        <w:tc>
          <w:tcPr>
            <w:tcW w:w="1260" w:type="dxa"/>
          </w:tcPr>
          <w:p w:rsidR="00F815A6" w:rsidRPr="009D005B" w:rsidRDefault="00D97996" w:rsidP="00CF0B0E">
            <w:pPr>
              <w:jc w:val="right"/>
            </w:pPr>
            <w:r>
              <w:t>1.669.108</w:t>
            </w:r>
          </w:p>
        </w:tc>
        <w:tc>
          <w:tcPr>
            <w:tcW w:w="1261" w:type="dxa"/>
          </w:tcPr>
          <w:p w:rsidR="00F815A6" w:rsidRPr="009D005B" w:rsidRDefault="00D97996" w:rsidP="00CF0B0E">
            <w:pPr>
              <w:jc w:val="right"/>
            </w:pPr>
            <w:r>
              <w:t>1.850.938</w:t>
            </w:r>
          </w:p>
        </w:tc>
        <w:tc>
          <w:tcPr>
            <w:tcW w:w="1261" w:type="dxa"/>
          </w:tcPr>
          <w:p w:rsidR="00F815A6" w:rsidRPr="009D005B" w:rsidRDefault="0077447D" w:rsidP="00CF0B0E">
            <w:pPr>
              <w:jc w:val="right"/>
            </w:pPr>
            <w:r>
              <w:t>1.984.417</w:t>
            </w:r>
          </w:p>
        </w:tc>
        <w:tc>
          <w:tcPr>
            <w:tcW w:w="1260" w:type="dxa"/>
          </w:tcPr>
          <w:p w:rsidR="00F815A6" w:rsidRPr="009D005B" w:rsidRDefault="0077447D" w:rsidP="00CF0B0E">
            <w:pPr>
              <w:jc w:val="right"/>
            </w:pPr>
            <w:r>
              <w:t>1.990.473</w:t>
            </w:r>
          </w:p>
        </w:tc>
        <w:tc>
          <w:tcPr>
            <w:tcW w:w="1261" w:type="dxa"/>
          </w:tcPr>
          <w:p w:rsidR="00F815A6" w:rsidRPr="009D005B" w:rsidRDefault="0077447D" w:rsidP="00CF0B0E">
            <w:pPr>
              <w:jc w:val="right"/>
            </w:pPr>
            <w:r>
              <w:t>1.991.560</w:t>
            </w:r>
          </w:p>
        </w:tc>
        <w:tc>
          <w:tcPr>
            <w:tcW w:w="1261" w:type="dxa"/>
          </w:tcPr>
          <w:p w:rsidR="00F815A6" w:rsidRPr="009D005B" w:rsidRDefault="00D97996" w:rsidP="00CF0B0E">
            <w:pPr>
              <w:jc w:val="right"/>
            </w:pPr>
            <w:r>
              <w:t>1,</w:t>
            </w:r>
            <w:r w:rsidR="0077447D">
              <w:t>072</w:t>
            </w:r>
          </w:p>
        </w:tc>
      </w:tr>
      <w:tr w:rsidR="00444CD7" w:rsidRPr="009D005B" w:rsidTr="00857619">
        <w:tc>
          <w:tcPr>
            <w:tcW w:w="1838" w:type="dxa"/>
          </w:tcPr>
          <w:p w:rsidR="00444CD7" w:rsidRDefault="00444CD7" w:rsidP="00857619">
            <w:r>
              <w:t>A622122</w:t>
            </w:r>
          </w:p>
        </w:tc>
        <w:tc>
          <w:tcPr>
            <w:tcW w:w="1260" w:type="dxa"/>
          </w:tcPr>
          <w:p w:rsidR="00444CD7" w:rsidRPr="009D005B" w:rsidRDefault="00D97996" w:rsidP="00CF0B0E">
            <w:pPr>
              <w:jc w:val="right"/>
            </w:pPr>
            <w:r>
              <w:t>116.262</w:t>
            </w:r>
          </w:p>
        </w:tc>
        <w:tc>
          <w:tcPr>
            <w:tcW w:w="1261" w:type="dxa"/>
          </w:tcPr>
          <w:p w:rsidR="00444CD7" w:rsidRPr="009D005B" w:rsidRDefault="00D97996" w:rsidP="00CF0B0E">
            <w:pPr>
              <w:jc w:val="right"/>
            </w:pPr>
            <w:r>
              <w:t>132.638</w:t>
            </w:r>
          </w:p>
        </w:tc>
        <w:tc>
          <w:tcPr>
            <w:tcW w:w="1261" w:type="dxa"/>
          </w:tcPr>
          <w:p w:rsidR="00444CD7" w:rsidRDefault="0077447D" w:rsidP="00CF0B0E">
            <w:pPr>
              <w:jc w:val="right"/>
            </w:pPr>
            <w:r>
              <w:t>113.887</w:t>
            </w:r>
          </w:p>
        </w:tc>
        <w:tc>
          <w:tcPr>
            <w:tcW w:w="1260" w:type="dxa"/>
          </w:tcPr>
          <w:p w:rsidR="00444CD7" w:rsidRPr="009D005B" w:rsidRDefault="0077447D" w:rsidP="00CF0B0E">
            <w:pPr>
              <w:jc w:val="right"/>
            </w:pPr>
            <w:r>
              <w:t>113.887</w:t>
            </w:r>
          </w:p>
        </w:tc>
        <w:tc>
          <w:tcPr>
            <w:tcW w:w="1261" w:type="dxa"/>
          </w:tcPr>
          <w:p w:rsidR="00444CD7" w:rsidRPr="009D005B" w:rsidRDefault="0077447D" w:rsidP="00CF0B0E">
            <w:pPr>
              <w:jc w:val="right"/>
            </w:pPr>
            <w:r>
              <w:t>113.887</w:t>
            </w:r>
          </w:p>
        </w:tc>
        <w:tc>
          <w:tcPr>
            <w:tcW w:w="1261" w:type="dxa"/>
          </w:tcPr>
          <w:p w:rsidR="00444CD7" w:rsidRPr="009D005B" w:rsidRDefault="0077447D" w:rsidP="00CF0B0E">
            <w:pPr>
              <w:jc w:val="right"/>
            </w:pPr>
            <w:r>
              <w:t>0,859</w:t>
            </w:r>
          </w:p>
        </w:tc>
      </w:tr>
    </w:tbl>
    <w:p w:rsidR="00F815A6" w:rsidRPr="009D005B" w:rsidRDefault="00A878B4" w:rsidP="00F815A6">
      <w:pPr>
        <w:spacing w:before="240"/>
        <w:jc w:val="both"/>
        <w:rPr>
          <w:i/>
        </w:rPr>
      </w:pPr>
      <w:r>
        <w:rPr>
          <w:i/>
        </w:rPr>
        <w:t>Ove aktivnosti odvijaju se kontinuirano i njihovo izvršenje je određeno limitima koji su dostavljeni od Sveučilišta u Zagrebu. Planirana sredstva trošit će se za sljedeće potrebe Fakulteta:</w:t>
      </w:r>
    </w:p>
    <w:p w:rsidR="00F815A6" w:rsidRPr="009D005B" w:rsidRDefault="00A878B4" w:rsidP="00F815A6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Rashodi za zaposlene</w:t>
      </w:r>
    </w:p>
    <w:p w:rsidR="00F815A6" w:rsidRPr="009D005B" w:rsidRDefault="00A878B4" w:rsidP="00F815A6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Materijalna prava</w:t>
      </w:r>
    </w:p>
    <w:p w:rsidR="00F815A6" w:rsidRPr="009D005B" w:rsidRDefault="00A878B4" w:rsidP="00F815A6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Troškove poslovanja</w:t>
      </w:r>
    </w:p>
    <w:p w:rsidR="00F815A6" w:rsidRPr="009D005B" w:rsidRDefault="00F815A6" w:rsidP="00F815A6">
      <w:pPr>
        <w:jc w:val="both"/>
        <w:rPr>
          <w:i/>
        </w:rPr>
      </w:pPr>
      <w:r w:rsidRPr="009D005B">
        <w:rPr>
          <w:i/>
        </w:rPr>
        <w:t>U razdoblju 202</w:t>
      </w:r>
      <w:r w:rsidR="0082006A">
        <w:rPr>
          <w:i/>
        </w:rPr>
        <w:t>4</w:t>
      </w:r>
      <w:r w:rsidRPr="009D005B">
        <w:rPr>
          <w:i/>
        </w:rPr>
        <w:t>. – 202</w:t>
      </w:r>
      <w:r w:rsidR="0082006A">
        <w:rPr>
          <w:i/>
        </w:rPr>
        <w:t>6</w:t>
      </w:r>
      <w:r w:rsidRPr="009D005B">
        <w:rPr>
          <w:i/>
        </w:rPr>
        <w:t xml:space="preserve">. očekuje se ostvarenje sljedećeg: </w:t>
      </w:r>
      <w:r w:rsidR="00A878B4">
        <w:rPr>
          <w:i/>
        </w:rPr>
        <w:t>Redovna isplata plaća i materijalnih prava zaposlenika, podmirenje osnovnih materijalnih rashoda odnosno režijskih troškova kao i napredak znanstvene djelatnosti zaposlenika (napredovanja, konferencije, objava članaka i slično).</w:t>
      </w:r>
    </w:p>
    <w:p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:rsidR="00F815A6" w:rsidRPr="009D005B" w:rsidRDefault="00F815A6" w:rsidP="00F815A6">
      <w:pPr>
        <w:pStyle w:val="Odlomakpopisa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:rsidR="003B2CF0" w:rsidRDefault="00030327" w:rsidP="003B2CF0">
      <w:pPr>
        <w:pStyle w:val="Odlomakpopisa"/>
        <w:spacing w:after="0"/>
        <w:jc w:val="both"/>
        <w:rPr>
          <w:i/>
        </w:rPr>
      </w:pPr>
      <w:r>
        <w:rPr>
          <w:i/>
        </w:rPr>
        <w:lastRenderedPageBreak/>
        <w:t>U 202</w:t>
      </w:r>
      <w:r w:rsidR="0082006A">
        <w:rPr>
          <w:i/>
        </w:rPr>
        <w:t>4</w:t>
      </w:r>
      <w:r w:rsidR="00F815A6">
        <w:rPr>
          <w:i/>
        </w:rPr>
        <w:t xml:space="preserve">. planirana su sredstva u iznosu od </w:t>
      </w:r>
      <w:r w:rsidR="00D97996">
        <w:rPr>
          <w:i/>
        </w:rPr>
        <w:t>2.001.408</w:t>
      </w:r>
      <w:r w:rsidR="00A878B4">
        <w:rPr>
          <w:i/>
        </w:rPr>
        <w:t xml:space="preserve"> EUR</w:t>
      </w:r>
      <w:r w:rsidR="00F815A6">
        <w:rPr>
          <w:i/>
        </w:rPr>
        <w:t xml:space="preserve"> za plaće</w:t>
      </w:r>
      <w:r w:rsidR="00A878B4">
        <w:rPr>
          <w:i/>
        </w:rPr>
        <w:t xml:space="preserve"> i materijalna prava </w:t>
      </w:r>
      <w:r w:rsidR="00F815A6">
        <w:rPr>
          <w:i/>
        </w:rPr>
        <w:t xml:space="preserve"> zaposlenika, </w:t>
      </w:r>
      <w:r w:rsidR="00D97996">
        <w:rPr>
          <w:i/>
        </w:rPr>
        <w:t>105.715</w:t>
      </w:r>
      <w:r w:rsidR="00A878B4">
        <w:rPr>
          <w:i/>
        </w:rPr>
        <w:t xml:space="preserve"> EUR</w:t>
      </w:r>
      <w:r w:rsidR="00F815A6">
        <w:rPr>
          <w:i/>
        </w:rPr>
        <w:t xml:space="preserve"> za materijalne rashode, a preostalih </w:t>
      </w:r>
      <w:r w:rsidR="009D32CC">
        <w:rPr>
          <w:i/>
        </w:rPr>
        <w:t>132.638</w:t>
      </w:r>
      <w:r w:rsidR="00A878B4">
        <w:rPr>
          <w:i/>
        </w:rPr>
        <w:t xml:space="preserve"> EUR</w:t>
      </w:r>
      <w:r w:rsidR="00F815A6">
        <w:rPr>
          <w:i/>
        </w:rPr>
        <w:t xml:space="preserve"> </w:t>
      </w:r>
      <w:r w:rsidR="00A878B4">
        <w:rPr>
          <w:i/>
        </w:rPr>
        <w:t>za materijalne rashode režijskih troškova i znanstvene djelatnosti te nastave.</w:t>
      </w:r>
      <w:r w:rsidR="00F815A6">
        <w:rPr>
          <w:i/>
        </w:rPr>
        <w:t xml:space="preserve"> Sredstva su u </w:t>
      </w:r>
      <w:r>
        <w:rPr>
          <w:i/>
        </w:rPr>
        <w:t>istom iznosu planirana i za 202</w:t>
      </w:r>
      <w:r w:rsidR="0082006A">
        <w:rPr>
          <w:i/>
        </w:rPr>
        <w:t>5</w:t>
      </w:r>
      <w:r>
        <w:rPr>
          <w:i/>
        </w:rPr>
        <w:t>. i 202</w:t>
      </w:r>
      <w:r w:rsidR="0082006A">
        <w:rPr>
          <w:i/>
        </w:rPr>
        <w:t>6</w:t>
      </w:r>
      <w:r w:rsidR="00F815A6">
        <w:rPr>
          <w:i/>
        </w:rPr>
        <w:t xml:space="preserve">. godinu. </w:t>
      </w:r>
    </w:p>
    <w:p w:rsidR="00B7075D" w:rsidRDefault="00B7075D" w:rsidP="003B2CF0">
      <w:pPr>
        <w:pStyle w:val="Odlomakpopisa"/>
        <w:spacing w:after="0"/>
        <w:jc w:val="both"/>
        <w:rPr>
          <w:i/>
        </w:rPr>
      </w:pPr>
    </w:p>
    <w:p w:rsidR="00B7075D" w:rsidRPr="003B2CF0" w:rsidRDefault="00B7075D" w:rsidP="003B2CF0">
      <w:pPr>
        <w:pStyle w:val="Odlomakpopisa"/>
        <w:spacing w:after="0"/>
        <w:jc w:val="both"/>
        <w:rPr>
          <w:i/>
        </w:rPr>
      </w:pPr>
    </w:p>
    <w:p w:rsidR="00F815A6" w:rsidRPr="009D005B" w:rsidRDefault="00F815A6" w:rsidP="00F815A6">
      <w:pPr>
        <w:jc w:val="both"/>
      </w:pPr>
    </w:p>
    <w:p w:rsidR="00184C5B" w:rsidRPr="009D005B" w:rsidRDefault="004C3A59" w:rsidP="00184C5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1" w:name="_Hlk115681246"/>
      <w:bookmarkEnd w:id="0"/>
      <w:r>
        <w:t xml:space="preserve"> </w:t>
      </w:r>
      <w:r w:rsidR="00184C5B">
        <w:rPr>
          <w:b/>
          <w:sz w:val="28"/>
        </w:rPr>
        <w:t>A679088 Redovna aktivnost Sveučilišta u Zagrebu (iz evidencijskih prihoda)- Vlastiti prihodi i Prihodi za posebne namjene izvori 31</w:t>
      </w:r>
      <w:r w:rsidR="0082006A">
        <w:rPr>
          <w:b/>
          <w:sz w:val="28"/>
        </w:rPr>
        <w:t>,</w:t>
      </w:r>
      <w:r w:rsidR="00184C5B">
        <w:rPr>
          <w:b/>
          <w:sz w:val="28"/>
        </w:rPr>
        <w:t xml:space="preserve"> 43</w:t>
      </w:r>
      <w:r w:rsidR="0082006A">
        <w:rPr>
          <w:b/>
          <w:sz w:val="28"/>
        </w:rPr>
        <w:t>, 52 i 61</w:t>
      </w:r>
      <w:r w:rsidR="00184C5B">
        <w:rPr>
          <w:b/>
          <w:sz w:val="28"/>
        </w:rPr>
        <w:t xml:space="preserve"> </w:t>
      </w:r>
    </w:p>
    <w:bookmarkEnd w:id="1"/>
    <w:p w:rsidR="00184C5B" w:rsidRPr="009D005B" w:rsidRDefault="00184C5B" w:rsidP="00184C5B">
      <w:pPr>
        <w:jc w:val="both"/>
      </w:pPr>
      <w:r w:rsidRPr="009D005B">
        <w:t>Obrazac za unos teksta:</w:t>
      </w:r>
    </w:p>
    <w:p w:rsidR="00184C5B" w:rsidRPr="009D005B" w:rsidRDefault="00184C5B" w:rsidP="00184C5B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:rsidR="00184C5B" w:rsidRDefault="00184C5B" w:rsidP="00184C5B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:rsidR="00184C5B" w:rsidRPr="009D005B" w:rsidRDefault="00184C5B" w:rsidP="00184C5B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:rsidR="00184C5B" w:rsidRPr="003239CD" w:rsidRDefault="00184C5B" w:rsidP="00184C5B">
      <w:pPr>
        <w:pStyle w:val="Odlomakpopisa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4"/>
        <w:gridCol w:w="1229"/>
        <w:gridCol w:w="1222"/>
        <w:gridCol w:w="1222"/>
        <w:gridCol w:w="1221"/>
        <w:gridCol w:w="1222"/>
        <w:gridCol w:w="1212"/>
      </w:tblGrid>
      <w:tr w:rsidR="00184C5B" w:rsidRPr="009D005B" w:rsidTr="00857619">
        <w:tc>
          <w:tcPr>
            <w:tcW w:w="1838" w:type="dxa"/>
            <w:shd w:val="clear" w:color="auto" w:fill="D0CECE" w:themeFill="background2" w:themeFillShade="E6"/>
          </w:tcPr>
          <w:p w:rsidR="00184C5B" w:rsidRPr="009D005B" w:rsidRDefault="00184C5B" w:rsidP="00857619">
            <w:pPr>
              <w:jc w:val="both"/>
            </w:pPr>
          </w:p>
          <w:p w:rsidR="00184C5B" w:rsidRPr="009D005B" w:rsidRDefault="00184C5B" w:rsidP="00857619">
            <w:pPr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>
              <w:t>Izvršenje 202</w:t>
            </w:r>
            <w:r w:rsidR="0082006A">
              <w:t>2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 w:rsidRPr="009D005B">
              <w:t>Plan 20</w:t>
            </w:r>
            <w:r>
              <w:t>2</w:t>
            </w:r>
            <w:r w:rsidR="0082006A">
              <w:t>3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 w:rsidRPr="009D005B">
              <w:t>Plan 202</w:t>
            </w:r>
            <w:r w:rsidR="0082006A">
              <w:t>4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 w:rsidRPr="009D005B">
              <w:t>Plan 202</w:t>
            </w:r>
            <w:r w:rsidR="0082006A">
              <w:t>5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 w:rsidRPr="009D005B">
              <w:t>Plan 202</w:t>
            </w:r>
            <w:r w:rsidR="0082006A">
              <w:t>6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184C5B" w:rsidRPr="009D005B" w:rsidRDefault="00184C5B" w:rsidP="00857619">
            <w:pPr>
              <w:jc w:val="center"/>
            </w:pPr>
            <w:r w:rsidRPr="009D005B">
              <w:t>Indeks 2</w:t>
            </w:r>
            <w:r w:rsidR="0082006A">
              <w:t>4</w:t>
            </w:r>
            <w:r w:rsidRPr="009D005B">
              <w:t>./</w:t>
            </w:r>
            <w:r>
              <w:t>2</w:t>
            </w:r>
            <w:r w:rsidR="0082006A">
              <w:t>3</w:t>
            </w:r>
            <w:r w:rsidRPr="009D005B">
              <w:t>.</w:t>
            </w:r>
          </w:p>
        </w:tc>
      </w:tr>
      <w:tr w:rsidR="00184C5B" w:rsidRPr="009D005B" w:rsidTr="00857619">
        <w:tc>
          <w:tcPr>
            <w:tcW w:w="1838" w:type="dxa"/>
          </w:tcPr>
          <w:p w:rsidR="00184C5B" w:rsidRPr="009D005B" w:rsidRDefault="00184C5B" w:rsidP="00857619">
            <w:r>
              <w:t>Vlastiti prihodi</w:t>
            </w:r>
          </w:p>
        </w:tc>
        <w:tc>
          <w:tcPr>
            <w:tcW w:w="1260" w:type="dxa"/>
          </w:tcPr>
          <w:p w:rsidR="00184C5B" w:rsidRPr="009D005B" w:rsidRDefault="00D97996" w:rsidP="00CF0B0E">
            <w:pPr>
              <w:jc w:val="right"/>
            </w:pPr>
            <w:r>
              <w:t>257.048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330.000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350.000</w:t>
            </w:r>
          </w:p>
        </w:tc>
        <w:tc>
          <w:tcPr>
            <w:tcW w:w="1260" w:type="dxa"/>
          </w:tcPr>
          <w:p w:rsidR="00184C5B" w:rsidRPr="009D005B" w:rsidRDefault="00D97996" w:rsidP="00CF0B0E">
            <w:pPr>
              <w:jc w:val="right"/>
            </w:pPr>
            <w:r>
              <w:t>360.000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370.000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1,061</w:t>
            </w:r>
          </w:p>
        </w:tc>
      </w:tr>
      <w:tr w:rsidR="00184C5B" w:rsidRPr="009D005B" w:rsidTr="00857619">
        <w:tc>
          <w:tcPr>
            <w:tcW w:w="1838" w:type="dxa"/>
          </w:tcPr>
          <w:p w:rsidR="00184C5B" w:rsidRDefault="00184C5B" w:rsidP="00857619">
            <w:r>
              <w:t>Prihodi za posebne namjene</w:t>
            </w:r>
          </w:p>
        </w:tc>
        <w:tc>
          <w:tcPr>
            <w:tcW w:w="1260" w:type="dxa"/>
          </w:tcPr>
          <w:p w:rsidR="00184C5B" w:rsidRPr="009D005B" w:rsidRDefault="00D97996" w:rsidP="00CF0B0E">
            <w:pPr>
              <w:jc w:val="right"/>
            </w:pPr>
            <w:r>
              <w:t>23.987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90.000</w:t>
            </w:r>
          </w:p>
        </w:tc>
        <w:tc>
          <w:tcPr>
            <w:tcW w:w="1261" w:type="dxa"/>
          </w:tcPr>
          <w:p w:rsidR="00184C5B" w:rsidRDefault="00830B63" w:rsidP="00CF0B0E">
            <w:pPr>
              <w:jc w:val="right"/>
            </w:pPr>
            <w:r>
              <w:t>90.000</w:t>
            </w:r>
          </w:p>
        </w:tc>
        <w:tc>
          <w:tcPr>
            <w:tcW w:w="1260" w:type="dxa"/>
          </w:tcPr>
          <w:p w:rsidR="00184C5B" w:rsidRPr="009D005B" w:rsidRDefault="00D97996" w:rsidP="00CF0B0E">
            <w:pPr>
              <w:jc w:val="right"/>
            </w:pPr>
            <w:r>
              <w:t>90.000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90.000</w:t>
            </w:r>
          </w:p>
        </w:tc>
        <w:tc>
          <w:tcPr>
            <w:tcW w:w="1261" w:type="dxa"/>
          </w:tcPr>
          <w:p w:rsidR="00184C5B" w:rsidRPr="009D005B" w:rsidRDefault="00D97996" w:rsidP="00CF0B0E">
            <w:pPr>
              <w:jc w:val="right"/>
            </w:pPr>
            <w:r>
              <w:t>1,000</w:t>
            </w:r>
          </w:p>
        </w:tc>
      </w:tr>
      <w:tr w:rsidR="00B7075D" w:rsidRPr="009D005B" w:rsidTr="00857619">
        <w:tc>
          <w:tcPr>
            <w:tcW w:w="1838" w:type="dxa"/>
          </w:tcPr>
          <w:p w:rsidR="00B7075D" w:rsidRDefault="00B7075D" w:rsidP="00857619">
            <w:r>
              <w:t>Pomoći</w:t>
            </w:r>
          </w:p>
        </w:tc>
        <w:tc>
          <w:tcPr>
            <w:tcW w:w="1260" w:type="dxa"/>
          </w:tcPr>
          <w:p w:rsidR="00B7075D" w:rsidRDefault="00B7075D" w:rsidP="00CF0B0E">
            <w:pPr>
              <w:jc w:val="right"/>
            </w:pPr>
            <w:r>
              <w:t>174.386</w:t>
            </w:r>
          </w:p>
        </w:tc>
        <w:tc>
          <w:tcPr>
            <w:tcW w:w="1261" w:type="dxa"/>
          </w:tcPr>
          <w:p w:rsidR="00B7075D" w:rsidRDefault="00B7075D" w:rsidP="00CF0B0E">
            <w:pPr>
              <w:jc w:val="right"/>
            </w:pPr>
            <w:r>
              <w:t>31.224</w:t>
            </w:r>
          </w:p>
        </w:tc>
        <w:tc>
          <w:tcPr>
            <w:tcW w:w="1261" w:type="dxa"/>
          </w:tcPr>
          <w:p w:rsidR="00B7075D" w:rsidRDefault="0077447D" w:rsidP="00CF0B0E">
            <w:pPr>
              <w:jc w:val="right"/>
            </w:pPr>
            <w:r>
              <w:t>144.495</w:t>
            </w:r>
          </w:p>
        </w:tc>
        <w:tc>
          <w:tcPr>
            <w:tcW w:w="1260" w:type="dxa"/>
          </w:tcPr>
          <w:p w:rsidR="00B7075D" w:rsidRDefault="0077447D" w:rsidP="00CF0B0E">
            <w:pPr>
              <w:jc w:val="right"/>
            </w:pPr>
            <w:r>
              <w:t>51.432</w:t>
            </w:r>
          </w:p>
        </w:tc>
        <w:tc>
          <w:tcPr>
            <w:tcW w:w="1261" w:type="dxa"/>
          </w:tcPr>
          <w:p w:rsidR="00B7075D" w:rsidRDefault="0077447D" w:rsidP="00CF0B0E">
            <w:pPr>
              <w:jc w:val="right"/>
            </w:pPr>
            <w:r>
              <w:t>12.061</w:t>
            </w:r>
          </w:p>
        </w:tc>
        <w:tc>
          <w:tcPr>
            <w:tcW w:w="1261" w:type="dxa"/>
          </w:tcPr>
          <w:p w:rsidR="00B7075D" w:rsidRDefault="0077447D" w:rsidP="00CF0B0E">
            <w:pPr>
              <w:jc w:val="right"/>
            </w:pPr>
            <w:r>
              <w:t>4,628</w:t>
            </w:r>
          </w:p>
        </w:tc>
      </w:tr>
      <w:tr w:rsidR="00B7075D" w:rsidRPr="009D005B" w:rsidTr="00857619">
        <w:tc>
          <w:tcPr>
            <w:tcW w:w="1838" w:type="dxa"/>
          </w:tcPr>
          <w:p w:rsidR="00B7075D" w:rsidRDefault="00B7075D" w:rsidP="00857619">
            <w:r>
              <w:t>Donacije</w:t>
            </w:r>
          </w:p>
        </w:tc>
        <w:tc>
          <w:tcPr>
            <w:tcW w:w="1260" w:type="dxa"/>
          </w:tcPr>
          <w:p w:rsidR="00B7075D" w:rsidRDefault="00B7075D" w:rsidP="00CF0B0E">
            <w:pPr>
              <w:jc w:val="right"/>
            </w:pPr>
            <w:r>
              <w:t>14.177</w:t>
            </w:r>
          </w:p>
        </w:tc>
        <w:tc>
          <w:tcPr>
            <w:tcW w:w="1261" w:type="dxa"/>
          </w:tcPr>
          <w:p w:rsidR="00B7075D" w:rsidRDefault="00B7075D" w:rsidP="00CF0B0E">
            <w:pPr>
              <w:jc w:val="right"/>
            </w:pPr>
            <w:r>
              <w:t>135.020</w:t>
            </w:r>
          </w:p>
        </w:tc>
        <w:tc>
          <w:tcPr>
            <w:tcW w:w="1261" w:type="dxa"/>
          </w:tcPr>
          <w:p w:rsidR="00B7075D" w:rsidRDefault="00B7075D" w:rsidP="00CF0B0E">
            <w:pPr>
              <w:jc w:val="right"/>
            </w:pPr>
          </w:p>
        </w:tc>
        <w:tc>
          <w:tcPr>
            <w:tcW w:w="1260" w:type="dxa"/>
          </w:tcPr>
          <w:p w:rsidR="00B7075D" w:rsidRDefault="00B7075D" w:rsidP="00CF0B0E">
            <w:pPr>
              <w:jc w:val="right"/>
            </w:pPr>
          </w:p>
        </w:tc>
        <w:tc>
          <w:tcPr>
            <w:tcW w:w="1261" w:type="dxa"/>
          </w:tcPr>
          <w:p w:rsidR="00B7075D" w:rsidRDefault="00B7075D" w:rsidP="00CF0B0E">
            <w:pPr>
              <w:jc w:val="right"/>
            </w:pPr>
          </w:p>
        </w:tc>
        <w:tc>
          <w:tcPr>
            <w:tcW w:w="1261" w:type="dxa"/>
          </w:tcPr>
          <w:p w:rsidR="00B7075D" w:rsidRDefault="00B7075D" w:rsidP="00CF0B0E">
            <w:pPr>
              <w:jc w:val="right"/>
            </w:pPr>
            <w:bookmarkStart w:id="2" w:name="_GoBack"/>
            <w:bookmarkEnd w:id="2"/>
          </w:p>
        </w:tc>
      </w:tr>
    </w:tbl>
    <w:p w:rsidR="00184C5B" w:rsidRPr="009D005B" w:rsidRDefault="00184C5B" w:rsidP="00184C5B">
      <w:pPr>
        <w:spacing w:before="240"/>
        <w:jc w:val="both"/>
        <w:rPr>
          <w:i/>
        </w:rPr>
      </w:pPr>
      <w:r>
        <w:rPr>
          <w:i/>
        </w:rPr>
        <w:t xml:space="preserve">Ove aktivnosti odvijaju se kontinuirano i njihovo izvršenje je određeno </w:t>
      </w:r>
      <w:r w:rsidR="00830B63">
        <w:rPr>
          <w:i/>
        </w:rPr>
        <w:t>ostvarenjem odnosno iznosom ugovorenih poslova iz suradnje s gospodarstvom i brojem upisanih studenata na preddiplomsko, diplomskom i doktorskom studiju Fakulteta</w:t>
      </w:r>
      <w:r>
        <w:rPr>
          <w:i/>
        </w:rPr>
        <w:t>. Planirana sredstva trošit će se za sljedeće potrebe Fakulteta:</w:t>
      </w:r>
    </w:p>
    <w:p w:rsidR="00184C5B" w:rsidRPr="009D005B" w:rsidRDefault="00184C5B" w:rsidP="00184C5B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Rashodi za zaposlene</w:t>
      </w:r>
    </w:p>
    <w:p w:rsidR="00184C5B" w:rsidRPr="009D005B" w:rsidRDefault="00184C5B" w:rsidP="00184C5B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Materijalna prava</w:t>
      </w:r>
    </w:p>
    <w:p w:rsidR="00184C5B" w:rsidRDefault="00184C5B" w:rsidP="00184C5B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Troškove poslovanja</w:t>
      </w:r>
    </w:p>
    <w:p w:rsidR="00830B63" w:rsidRPr="009D005B" w:rsidRDefault="00830B63" w:rsidP="00184C5B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Kapitalna ulaganja</w:t>
      </w:r>
    </w:p>
    <w:p w:rsidR="00184C5B" w:rsidRPr="009D005B" w:rsidRDefault="00184C5B" w:rsidP="00184C5B">
      <w:pPr>
        <w:jc w:val="both"/>
        <w:rPr>
          <w:i/>
        </w:rPr>
      </w:pPr>
      <w:r w:rsidRPr="009D005B">
        <w:rPr>
          <w:i/>
        </w:rPr>
        <w:t>U razdoblju 202</w:t>
      </w:r>
      <w:r w:rsidR="00D97996">
        <w:rPr>
          <w:i/>
        </w:rPr>
        <w:t>4</w:t>
      </w:r>
      <w:r w:rsidRPr="009D005B">
        <w:rPr>
          <w:i/>
        </w:rPr>
        <w:t>. – 202</w:t>
      </w:r>
      <w:r w:rsidR="00D97996">
        <w:rPr>
          <w:i/>
        </w:rPr>
        <w:t>6</w:t>
      </w:r>
      <w:r w:rsidRPr="009D005B">
        <w:rPr>
          <w:i/>
        </w:rPr>
        <w:t xml:space="preserve">. očekuje se ostvarenje sljedećeg: </w:t>
      </w:r>
      <w:r>
        <w:rPr>
          <w:i/>
        </w:rPr>
        <w:t>Redovna isplata plaća i materijalnih prava zaposlenika, podmirenje osnovnih materijalnih rashoda odnosno režijskih troškova kao i napredak znanstvene djelatnosti zaposlenika (napredovanja, konferencije, objava članaka i slično).</w:t>
      </w:r>
      <w:r w:rsidR="00830B63">
        <w:rPr>
          <w:i/>
        </w:rPr>
        <w:t xml:space="preserve"> Ujedno se očekuje i nabava kapitalne opreme za unapređenje nastavne i znanstvene djelatnosti Fakulteta.</w:t>
      </w:r>
    </w:p>
    <w:p w:rsidR="00184C5B" w:rsidRPr="009D005B" w:rsidRDefault="00184C5B" w:rsidP="00184C5B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:rsidR="00184C5B" w:rsidRPr="009D005B" w:rsidRDefault="00184C5B" w:rsidP="00184C5B">
      <w:pPr>
        <w:pStyle w:val="Odlomakpopisa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:rsidR="00474EAA" w:rsidRDefault="00184C5B" w:rsidP="00B7075D">
      <w:pPr>
        <w:pStyle w:val="Odlomakpopisa"/>
        <w:spacing w:after="0"/>
        <w:jc w:val="both"/>
        <w:rPr>
          <w:i/>
        </w:rPr>
      </w:pPr>
      <w:r>
        <w:rPr>
          <w:i/>
        </w:rPr>
        <w:t>U 202</w:t>
      </w:r>
      <w:r w:rsidR="00D97996">
        <w:rPr>
          <w:i/>
        </w:rPr>
        <w:t>4</w:t>
      </w:r>
      <w:r>
        <w:rPr>
          <w:i/>
        </w:rPr>
        <w:t xml:space="preserve">. planirana su sredstva u iznosu od </w:t>
      </w:r>
      <w:r w:rsidR="00B7075D">
        <w:rPr>
          <w:i/>
        </w:rPr>
        <w:t>49.950</w:t>
      </w:r>
      <w:r>
        <w:rPr>
          <w:i/>
        </w:rPr>
        <w:t xml:space="preserve"> EUR za plaće i materijalna prava  zaposlenika, </w:t>
      </w:r>
      <w:r w:rsidR="00B7075D">
        <w:rPr>
          <w:i/>
        </w:rPr>
        <w:t>109.233</w:t>
      </w:r>
      <w:r>
        <w:rPr>
          <w:i/>
        </w:rPr>
        <w:t xml:space="preserve"> EUR za materijalne rashode, a preostalih</w:t>
      </w:r>
      <w:r w:rsidR="00B7075D">
        <w:rPr>
          <w:i/>
        </w:rPr>
        <w:t xml:space="preserve"> 190.817</w:t>
      </w:r>
      <w:r>
        <w:rPr>
          <w:i/>
        </w:rPr>
        <w:t xml:space="preserve"> EUR za </w:t>
      </w:r>
      <w:r w:rsidR="00312936">
        <w:rPr>
          <w:i/>
        </w:rPr>
        <w:t>kapitalna ulaganja za unapređenje</w:t>
      </w:r>
      <w:r>
        <w:rPr>
          <w:i/>
        </w:rPr>
        <w:t xml:space="preserve"> znanstvene djelatnosti te nastave. Sredstva su u </w:t>
      </w:r>
      <w:r w:rsidR="00312936">
        <w:rPr>
          <w:i/>
        </w:rPr>
        <w:t>većim iznosima</w:t>
      </w:r>
      <w:r>
        <w:rPr>
          <w:i/>
        </w:rPr>
        <w:t xml:space="preserve"> planirana i za 2024. i 2025. godinu</w:t>
      </w:r>
      <w:r w:rsidR="00312936">
        <w:rPr>
          <w:i/>
        </w:rPr>
        <w:t xml:space="preserve"> jer nisu limitirana</w:t>
      </w:r>
      <w:r>
        <w:rPr>
          <w:i/>
        </w:rPr>
        <w:t>.</w:t>
      </w:r>
    </w:p>
    <w:p w:rsidR="009F7213" w:rsidRDefault="009F7213" w:rsidP="00B7075D">
      <w:pPr>
        <w:pStyle w:val="Odlomakpopisa"/>
        <w:spacing w:after="0"/>
        <w:jc w:val="both"/>
        <w:rPr>
          <w:i/>
        </w:rPr>
      </w:pPr>
    </w:p>
    <w:p w:rsidR="009F7213" w:rsidRDefault="009F7213" w:rsidP="00B7075D">
      <w:pPr>
        <w:pStyle w:val="Odlomakpopisa"/>
        <w:spacing w:after="0"/>
        <w:jc w:val="both"/>
        <w:rPr>
          <w:i/>
        </w:rPr>
      </w:pPr>
    </w:p>
    <w:p w:rsidR="00B7075D" w:rsidRDefault="00B7075D" w:rsidP="00B7075D">
      <w:pPr>
        <w:pStyle w:val="Odlomakpopisa"/>
        <w:spacing w:after="0"/>
        <w:jc w:val="both"/>
        <w:rPr>
          <w:b/>
        </w:rPr>
      </w:pPr>
    </w:p>
    <w:p w:rsidR="004E02C5" w:rsidRDefault="004E02C5" w:rsidP="00EF05CF">
      <w:pPr>
        <w:jc w:val="both"/>
      </w:pPr>
      <w:r w:rsidRPr="009D005B">
        <w:rPr>
          <w:b/>
        </w:rPr>
        <w:lastRenderedPageBreak/>
        <w:t>Napomene vezano za EU sufinancirane projekte</w:t>
      </w:r>
    </w:p>
    <w:p w:rsidR="0082006A" w:rsidRDefault="004E02C5" w:rsidP="004E02C5">
      <w:pPr>
        <w:jc w:val="both"/>
        <w:rPr>
          <w:b/>
          <w:u w:val="single"/>
        </w:rPr>
      </w:pPr>
      <w:r w:rsidRPr="009D005B">
        <w:rPr>
          <w:b/>
          <w:u w:val="single"/>
        </w:rPr>
        <w:t>Korisnik državnog proračuna u ulozi korisnika EU sredstava</w:t>
      </w:r>
    </w:p>
    <w:p w:rsidR="00295970" w:rsidRDefault="0082006A" w:rsidP="00B7075D">
      <w:pPr>
        <w:jc w:val="both"/>
      </w:pPr>
      <w:r w:rsidRPr="00B7075D">
        <w:t>Fakultet će do kraja 2023. godine završiti sve ugovorene EU projekte iz 2020. godine te nema ugovorenih novih EU projekata</w:t>
      </w:r>
      <w:r w:rsidR="004A6343" w:rsidRPr="00B7075D">
        <w:t xml:space="preserve">. </w:t>
      </w:r>
    </w:p>
    <w:p w:rsidR="00295970" w:rsidRDefault="00295970" w:rsidP="00295970">
      <w:pPr>
        <w:spacing w:after="0"/>
        <w:ind w:firstLine="425"/>
        <w:jc w:val="both"/>
      </w:pPr>
    </w:p>
    <w:p w:rsidR="007221ED" w:rsidRDefault="007221ED" w:rsidP="008D5C1E">
      <w:pPr>
        <w:pStyle w:val="Odlomakpopisa"/>
        <w:jc w:val="both"/>
        <w:rPr>
          <w:i/>
        </w:rPr>
      </w:pPr>
      <w:bookmarkStart w:id="3" w:name="_Hlk53746252"/>
      <w:r>
        <w:rPr>
          <w:i/>
        </w:rPr>
        <w:t>Dekan:</w:t>
      </w:r>
    </w:p>
    <w:p w:rsidR="008359D3" w:rsidRDefault="007221ED" w:rsidP="00B7075D">
      <w:pPr>
        <w:pStyle w:val="Odlomakpopisa"/>
        <w:jc w:val="both"/>
        <w:rPr>
          <w:i/>
        </w:rPr>
      </w:pPr>
      <w:r>
        <w:rPr>
          <w:i/>
        </w:rPr>
        <w:t xml:space="preserve">izv.prof.dr.sc. Hrvoje </w:t>
      </w:r>
      <w:proofErr w:type="spellStart"/>
      <w:r>
        <w:rPr>
          <w:i/>
        </w:rPr>
        <w:t>Meaški</w:t>
      </w:r>
      <w:bookmarkEnd w:id="3"/>
      <w:proofErr w:type="spellEnd"/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Default="008359D3" w:rsidP="008359D3">
      <w:pPr>
        <w:jc w:val="both"/>
        <w:rPr>
          <w:i/>
        </w:rPr>
      </w:pPr>
    </w:p>
    <w:p w:rsidR="008359D3" w:rsidRPr="009D005B" w:rsidRDefault="008359D3" w:rsidP="00EF05CF">
      <w:pPr>
        <w:jc w:val="both"/>
      </w:pPr>
    </w:p>
    <w:sectPr w:rsidR="008359D3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3B" w:rsidRDefault="0061563B">
      <w:pPr>
        <w:spacing w:after="0" w:line="240" w:lineRule="auto"/>
      </w:pPr>
      <w:r>
        <w:separator/>
      </w:r>
    </w:p>
  </w:endnote>
  <w:endnote w:type="continuationSeparator" w:id="0">
    <w:p w:rsidR="0061563B" w:rsidRDefault="0061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857619" w:rsidRDefault="008576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7619" w:rsidRDefault="008576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3B" w:rsidRDefault="0061563B">
      <w:pPr>
        <w:spacing w:after="0" w:line="240" w:lineRule="auto"/>
      </w:pPr>
      <w:r>
        <w:separator/>
      </w:r>
    </w:p>
  </w:footnote>
  <w:footnote w:type="continuationSeparator" w:id="0">
    <w:p w:rsidR="0061563B" w:rsidRDefault="0061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14B3C"/>
    <w:rsid w:val="00030327"/>
    <w:rsid w:val="000A170A"/>
    <w:rsid w:val="00167087"/>
    <w:rsid w:val="00184C5B"/>
    <w:rsid w:val="001A28E6"/>
    <w:rsid w:val="001B0F7A"/>
    <w:rsid w:val="001B3688"/>
    <w:rsid w:val="00220BF7"/>
    <w:rsid w:val="00227D81"/>
    <w:rsid w:val="0024685C"/>
    <w:rsid w:val="00295970"/>
    <w:rsid w:val="002C7121"/>
    <w:rsid w:val="002D444E"/>
    <w:rsid w:val="00312936"/>
    <w:rsid w:val="00316935"/>
    <w:rsid w:val="003239CD"/>
    <w:rsid w:val="00324025"/>
    <w:rsid w:val="003B2CF0"/>
    <w:rsid w:val="00426CF0"/>
    <w:rsid w:val="00444CD7"/>
    <w:rsid w:val="00451EA8"/>
    <w:rsid w:val="00474EAA"/>
    <w:rsid w:val="004A6343"/>
    <w:rsid w:val="004C3A59"/>
    <w:rsid w:val="004E02C5"/>
    <w:rsid w:val="00516F1E"/>
    <w:rsid w:val="00585281"/>
    <w:rsid w:val="0061563B"/>
    <w:rsid w:val="00682132"/>
    <w:rsid w:val="00703212"/>
    <w:rsid w:val="007221ED"/>
    <w:rsid w:val="00741900"/>
    <w:rsid w:val="00743BB2"/>
    <w:rsid w:val="0077447D"/>
    <w:rsid w:val="00787445"/>
    <w:rsid w:val="00787EA8"/>
    <w:rsid w:val="007E61EF"/>
    <w:rsid w:val="0082006A"/>
    <w:rsid w:val="008223B8"/>
    <w:rsid w:val="00830B63"/>
    <w:rsid w:val="008359D3"/>
    <w:rsid w:val="00846E65"/>
    <w:rsid w:val="00857619"/>
    <w:rsid w:val="008750BD"/>
    <w:rsid w:val="008D5C1E"/>
    <w:rsid w:val="00953571"/>
    <w:rsid w:val="009A65A8"/>
    <w:rsid w:val="009D32CC"/>
    <w:rsid w:val="009E2203"/>
    <w:rsid w:val="009F236F"/>
    <w:rsid w:val="009F7213"/>
    <w:rsid w:val="00A46CB2"/>
    <w:rsid w:val="00A812F0"/>
    <w:rsid w:val="00A878B4"/>
    <w:rsid w:val="00B7075D"/>
    <w:rsid w:val="00B7598C"/>
    <w:rsid w:val="00BB47B9"/>
    <w:rsid w:val="00BD7FDD"/>
    <w:rsid w:val="00BE3C4D"/>
    <w:rsid w:val="00BE741E"/>
    <w:rsid w:val="00C02B34"/>
    <w:rsid w:val="00C3339A"/>
    <w:rsid w:val="00C84559"/>
    <w:rsid w:val="00CB764D"/>
    <w:rsid w:val="00CF0B0E"/>
    <w:rsid w:val="00D12AB5"/>
    <w:rsid w:val="00D375DC"/>
    <w:rsid w:val="00D97996"/>
    <w:rsid w:val="00DA7AFE"/>
    <w:rsid w:val="00DD02AA"/>
    <w:rsid w:val="00E16FD6"/>
    <w:rsid w:val="00E525E0"/>
    <w:rsid w:val="00E66C1E"/>
    <w:rsid w:val="00E95BEE"/>
    <w:rsid w:val="00EA3AF1"/>
    <w:rsid w:val="00EF05CF"/>
    <w:rsid w:val="00EF0A99"/>
    <w:rsid w:val="00F12286"/>
    <w:rsid w:val="00F815A6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6208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knjiga</cp:lastModifiedBy>
  <cp:revision>6</cp:revision>
  <dcterms:created xsi:type="dcterms:W3CDTF">2023-10-25T06:31:00Z</dcterms:created>
  <dcterms:modified xsi:type="dcterms:W3CDTF">2023-12-08T09:49:00Z</dcterms:modified>
</cp:coreProperties>
</file>