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DEC" w:rsidRDefault="002D3DEC" w:rsidP="00CF0916">
      <w:pPr>
        <w:tabs>
          <w:tab w:val="left" w:pos="1665"/>
        </w:tabs>
        <w:jc w:val="center"/>
        <w:rPr>
          <w:b/>
        </w:rPr>
      </w:pPr>
      <w:bookmarkStart w:id="0" w:name="_Hlk181696351"/>
      <w:r>
        <w:rPr>
          <w:b/>
        </w:rPr>
        <w:t>2102 SVEUČILIŠTE U ZAGREBU – GEOTEHNIČKI FAKULTET</w:t>
      </w:r>
    </w:p>
    <w:p w:rsidR="00CF0916" w:rsidRPr="00CF0916" w:rsidRDefault="00CF0916" w:rsidP="00CF0916">
      <w:pPr>
        <w:tabs>
          <w:tab w:val="left" w:pos="1665"/>
        </w:tabs>
        <w:jc w:val="center"/>
        <w:rPr>
          <w:b/>
        </w:rPr>
      </w:pPr>
    </w:p>
    <w:p w:rsidR="002D3DEC" w:rsidRDefault="002D3DEC" w:rsidP="002D3DEC">
      <w:pPr>
        <w:jc w:val="center"/>
        <w:rPr>
          <w:b/>
        </w:rPr>
      </w:pPr>
      <w:r>
        <w:rPr>
          <w:b/>
        </w:rPr>
        <w:t>OBRAZLOŽENJE OPĆEG DIJELA FINANCIJSKOG PLANA</w:t>
      </w:r>
      <w:r w:rsidR="00F54350">
        <w:rPr>
          <w:b/>
        </w:rPr>
        <w:t xml:space="preserve"> 2025.-2027.</w:t>
      </w:r>
      <w:r>
        <w:rPr>
          <w:b/>
        </w:rPr>
        <w:t xml:space="preserve"> </w:t>
      </w:r>
    </w:p>
    <w:bookmarkEnd w:id="0"/>
    <w:p w:rsidR="002D3DEC" w:rsidRDefault="002D3DEC" w:rsidP="002D3DEC">
      <w:pPr>
        <w:jc w:val="center"/>
        <w:rPr>
          <w:b/>
        </w:rPr>
      </w:pPr>
    </w:p>
    <w:p w:rsidR="002D3DEC" w:rsidRDefault="002D3DEC" w:rsidP="00A93CC3">
      <w:pPr>
        <w:rPr>
          <w:b/>
        </w:rPr>
      </w:pPr>
    </w:p>
    <w:p w:rsidR="002D3DEC" w:rsidRDefault="002D3DEC" w:rsidP="002D3DEC">
      <w:pPr>
        <w:jc w:val="both"/>
        <w:rPr>
          <w:b/>
        </w:rPr>
      </w:pPr>
      <w:r>
        <w:rPr>
          <w:b/>
        </w:rPr>
        <w:t>PRIHODI I PRIMICI</w:t>
      </w:r>
    </w:p>
    <w:p w:rsidR="002D3DEC" w:rsidRDefault="002D3DEC" w:rsidP="002D3DEC">
      <w:pPr>
        <w:jc w:val="both"/>
        <w:rPr>
          <w:b/>
        </w:rPr>
      </w:pPr>
    </w:p>
    <w:p w:rsidR="002D3DEC" w:rsidRPr="00295E78" w:rsidRDefault="002D3DEC" w:rsidP="002D3DEC">
      <w:pPr>
        <w:jc w:val="both"/>
        <w:rPr>
          <w:b/>
        </w:rPr>
      </w:pPr>
      <w:r>
        <w:t>U narednom trogodišnjem razdoblju (2025.-2027.) Geotehnički fakultet Sveučilišta u Zagrebu planirao je prihode i primitke prema izvorima kako slijedi:</w:t>
      </w:r>
    </w:p>
    <w:p w:rsidR="002D3DEC" w:rsidRDefault="002D3DEC" w:rsidP="002D3DEC">
      <w:pPr>
        <w:tabs>
          <w:tab w:val="left" w:pos="9360"/>
        </w:tabs>
        <w:jc w:val="both"/>
      </w:pPr>
      <w:r w:rsidRPr="00295E78">
        <w:rPr>
          <w:b/>
        </w:rPr>
        <w:tab/>
        <w:t>EUR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791"/>
        <w:gridCol w:w="1782"/>
        <w:gridCol w:w="1831"/>
        <w:gridCol w:w="1831"/>
        <w:gridCol w:w="1832"/>
      </w:tblGrid>
      <w:tr w:rsidR="002D3DEC" w:rsidTr="00E71A9A">
        <w:tc>
          <w:tcPr>
            <w:tcW w:w="2016" w:type="dxa"/>
          </w:tcPr>
          <w:p w:rsidR="002D3DEC" w:rsidRDefault="002D3DEC" w:rsidP="00E71A9A">
            <w:pPr>
              <w:jc w:val="center"/>
            </w:pPr>
            <w:bookmarkStart w:id="1" w:name="_Hlk115421983"/>
            <w:r>
              <w:t>Izvor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Vrsta prihoda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2025.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2026.</w:t>
            </w:r>
          </w:p>
        </w:tc>
        <w:tc>
          <w:tcPr>
            <w:tcW w:w="2017" w:type="dxa"/>
          </w:tcPr>
          <w:p w:rsidR="002D3DEC" w:rsidRDefault="002D3DEC" w:rsidP="00E71A9A">
            <w:pPr>
              <w:jc w:val="center"/>
            </w:pPr>
            <w:r>
              <w:t>2027.</w:t>
            </w:r>
          </w:p>
        </w:tc>
      </w:tr>
      <w:tr w:rsidR="002D3DEC" w:rsidTr="00E71A9A"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 xml:space="preserve">11 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67</w:t>
            </w:r>
          </w:p>
        </w:tc>
        <w:tc>
          <w:tcPr>
            <w:tcW w:w="2016" w:type="dxa"/>
          </w:tcPr>
          <w:p w:rsidR="002D3DEC" w:rsidRDefault="00F232D1" w:rsidP="00E71A9A">
            <w:pPr>
              <w:jc w:val="right"/>
            </w:pPr>
            <w:r>
              <w:t>2.464.678</w:t>
            </w:r>
          </w:p>
        </w:tc>
        <w:tc>
          <w:tcPr>
            <w:tcW w:w="2016" w:type="dxa"/>
          </w:tcPr>
          <w:p w:rsidR="002D3DEC" w:rsidRDefault="00F232D1" w:rsidP="00E71A9A">
            <w:pPr>
              <w:jc w:val="right"/>
            </w:pPr>
            <w:r>
              <w:t>2.478.724</w:t>
            </w:r>
          </w:p>
        </w:tc>
        <w:tc>
          <w:tcPr>
            <w:tcW w:w="2017" w:type="dxa"/>
          </w:tcPr>
          <w:p w:rsidR="002D3DEC" w:rsidRDefault="00F232D1" w:rsidP="00E71A9A">
            <w:pPr>
              <w:jc w:val="right"/>
            </w:pPr>
            <w:r>
              <w:t>2.490.53</w:t>
            </w:r>
            <w:r w:rsidR="005B01B2">
              <w:t>3</w:t>
            </w:r>
          </w:p>
        </w:tc>
      </w:tr>
      <w:tr w:rsidR="002D3DEC" w:rsidTr="00E71A9A"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31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66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right"/>
            </w:pPr>
            <w:r>
              <w:t>300.000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right"/>
            </w:pPr>
            <w:r>
              <w:t>325.000</w:t>
            </w:r>
          </w:p>
        </w:tc>
        <w:tc>
          <w:tcPr>
            <w:tcW w:w="2017" w:type="dxa"/>
          </w:tcPr>
          <w:p w:rsidR="002D3DEC" w:rsidRDefault="002D3DEC" w:rsidP="00E71A9A">
            <w:pPr>
              <w:jc w:val="right"/>
            </w:pPr>
            <w:r>
              <w:t>3</w:t>
            </w:r>
            <w:r w:rsidR="005A3B05">
              <w:t>25</w:t>
            </w:r>
            <w:r>
              <w:t>.000</w:t>
            </w:r>
          </w:p>
        </w:tc>
      </w:tr>
      <w:tr w:rsidR="002D3DEC" w:rsidTr="00E71A9A"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43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65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right"/>
            </w:pPr>
            <w:r>
              <w:t>70.000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right"/>
            </w:pPr>
            <w:r>
              <w:t>85.000</w:t>
            </w:r>
          </w:p>
        </w:tc>
        <w:tc>
          <w:tcPr>
            <w:tcW w:w="2017" w:type="dxa"/>
          </w:tcPr>
          <w:p w:rsidR="002D3DEC" w:rsidRDefault="002D3DEC" w:rsidP="00E71A9A">
            <w:pPr>
              <w:jc w:val="right"/>
            </w:pPr>
            <w:r>
              <w:t>85.000</w:t>
            </w:r>
          </w:p>
        </w:tc>
      </w:tr>
      <w:tr w:rsidR="002D3DEC" w:rsidTr="00E71A9A"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51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63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right"/>
            </w:pPr>
            <w:r>
              <w:t>54.347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right"/>
            </w:pPr>
            <w:r>
              <w:t>13.692</w:t>
            </w:r>
          </w:p>
        </w:tc>
        <w:tc>
          <w:tcPr>
            <w:tcW w:w="2017" w:type="dxa"/>
          </w:tcPr>
          <w:p w:rsidR="002D3DEC" w:rsidRDefault="002D3DEC" w:rsidP="00E71A9A">
            <w:pPr>
              <w:jc w:val="right"/>
            </w:pPr>
          </w:p>
        </w:tc>
      </w:tr>
      <w:tr w:rsidR="002D3DEC" w:rsidTr="00E71A9A"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52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63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right"/>
            </w:pPr>
            <w:r>
              <w:t>41.898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right"/>
            </w:pPr>
            <w:r>
              <w:t>28.919</w:t>
            </w:r>
          </w:p>
        </w:tc>
        <w:tc>
          <w:tcPr>
            <w:tcW w:w="2017" w:type="dxa"/>
          </w:tcPr>
          <w:p w:rsidR="002D3DEC" w:rsidRDefault="002D3DEC" w:rsidP="00E71A9A">
            <w:pPr>
              <w:jc w:val="right"/>
            </w:pPr>
            <w:r>
              <w:t>22.382</w:t>
            </w:r>
          </w:p>
        </w:tc>
      </w:tr>
      <w:tr w:rsidR="002D3DEC" w:rsidTr="003C13EA">
        <w:trPr>
          <w:trHeight w:val="94"/>
        </w:trPr>
        <w:tc>
          <w:tcPr>
            <w:tcW w:w="2016" w:type="dxa"/>
          </w:tcPr>
          <w:p w:rsidR="002D3DEC" w:rsidRDefault="002D3DEC" w:rsidP="00E71A9A">
            <w:pPr>
              <w:jc w:val="center"/>
            </w:pPr>
            <w:r>
              <w:t>Ukupno</w:t>
            </w:r>
          </w:p>
        </w:tc>
        <w:tc>
          <w:tcPr>
            <w:tcW w:w="2016" w:type="dxa"/>
          </w:tcPr>
          <w:p w:rsidR="002D3DEC" w:rsidRDefault="002D3DEC" w:rsidP="00E71A9A">
            <w:pPr>
              <w:jc w:val="center"/>
            </w:pPr>
          </w:p>
        </w:tc>
        <w:tc>
          <w:tcPr>
            <w:tcW w:w="2016" w:type="dxa"/>
          </w:tcPr>
          <w:p w:rsidR="002D3DEC" w:rsidRDefault="00F232D1" w:rsidP="00E71A9A">
            <w:pPr>
              <w:jc w:val="right"/>
            </w:pPr>
            <w:r>
              <w:t>2.930.923</w:t>
            </w:r>
          </w:p>
        </w:tc>
        <w:tc>
          <w:tcPr>
            <w:tcW w:w="2016" w:type="dxa"/>
          </w:tcPr>
          <w:p w:rsidR="002D3DEC" w:rsidRDefault="00F232D1" w:rsidP="00E71A9A">
            <w:pPr>
              <w:jc w:val="right"/>
            </w:pPr>
            <w:r>
              <w:t>2.931.335</w:t>
            </w:r>
          </w:p>
        </w:tc>
        <w:tc>
          <w:tcPr>
            <w:tcW w:w="2017" w:type="dxa"/>
          </w:tcPr>
          <w:p w:rsidR="002D3DEC" w:rsidRDefault="00F232D1" w:rsidP="00E71A9A">
            <w:pPr>
              <w:jc w:val="right"/>
            </w:pPr>
            <w:r>
              <w:t>2.922.91</w:t>
            </w:r>
            <w:r w:rsidR="005B01B2">
              <w:t>5</w:t>
            </w:r>
          </w:p>
        </w:tc>
      </w:tr>
      <w:bookmarkEnd w:id="1"/>
    </w:tbl>
    <w:p w:rsidR="002D3DEC" w:rsidRDefault="002D3DEC" w:rsidP="002D3DEC">
      <w:pPr>
        <w:jc w:val="both"/>
      </w:pPr>
    </w:p>
    <w:p w:rsidR="002D3DEC" w:rsidRDefault="002D3DEC" w:rsidP="002D3DEC">
      <w:pPr>
        <w:spacing w:after="240" w:line="276" w:lineRule="auto"/>
        <w:jc w:val="both"/>
      </w:pPr>
      <w:r>
        <w:t xml:space="preserve">Ukupni prihodi i primici planirani za 2025. i 2026. i 2027. godinu su </w:t>
      </w:r>
      <w:r w:rsidR="007A65C4">
        <w:t>nešto niži od tekućeg plana za</w:t>
      </w:r>
      <w:r>
        <w:t xml:space="preserve"> 2024. godinu</w:t>
      </w:r>
      <w:r w:rsidR="007A65C4">
        <w:t xml:space="preserve"> najviše zbog završetka gotovo svih EU projekata. </w:t>
      </w:r>
      <w:r>
        <w:t xml:space="preserve">Trenutno je aktivan jedan EU projekt (koji završava tijekom 2026. godine) te jedan HRZZ projekt. </w:t>
      </w:r>
      <w:r w:rsidRPr="00AE3D17">
        <w:rPr>
          <w:color w:val="000000"/>
          <w:lang w:eastAsia="en-GB"/>
        </w:rPr>
        <w:t xml:space="preserve">U navedenom </w:t>
      </w:r>
      <w:r>
        <w:rPr>
          <w:color w:val="000000"/>
          <w:lang w:eastAsia="en-GB"/>
        </w:rPr>
        <w:t xml:space="preserve">trogodišnjem </w:t>
      </w:r>
      <w:r w:rsidRPr="00AE3D17">
        <w:rPr>
          <w:color w:val="000000"/>
          <w:lang w:eastAsia="en-GB"/>
        </w:rPr>
        <w:t>razdoblju će zasigurno doći do provedbe novih projekata, međutim zbog nepostojana podataka isti nisu ni planirani</w:t>
      </w:r>
      <w:r>
        <w:rPr>
          <w:color w:val="000000"/>
          <w:lang w:eastAsia="en-GB"/>
        </w:rPr>
        <w:t>.</w:t>
      </w:r>
      <w:r w:rsidRPr="00AE3D17">
        <w:t xml:space="preserve"> </w:t>
      </w:r>
      <w:r>
        <w:t xml:space="preserve">Prihodi iz izvora 51 i 52 planirani su prema financijskom planu projekta. </w:t>
      </w:r>
      <w:r w:rsidRPr="00AE3D17">
        <w:t xml:space="preserve">Prihodi </w:t>
      </w:r>
      <w:r>
        <w:t>iz</w:t>
      </w:r>
      <w:r w:rsidRPr="00AE3D17">
        <w:t xml:space="preserve"> izvora 11 planirani su za sve tri godine prema zadanim limitima</w:t>
      </w:r>
      <w:r>
        <w:t xml:space="preserve"> od Sveučilišta u Zagrebu.</w:t>
      </w:r>
    </w:p>
    <w:p w:rsidR="002D3DEC" w:rsidRDefault="002D3DEC" w:rsidP="002D3DEC">
      <w:pPr>
        <w:jc w:val="both"/>
        <w:rPr>
          <w:b/>
        </w:rPr>
      </w:pPr>
      <w:r>
        <w:rPr>
          <w:b/>
        </w:rPr>
        <w:t>RASHODI I IZDACI</w:t>
      </w:r>
    </w:p>
    <w:p w:rsidR="002D3DEC" w:rsidRDefault="002D3DEC" w:rsidP="002D3DEC">
      <w:pPr>
        <w:jc w:val="both"/>
        <w:rPr>
          <w:b/>
        </w:rPr>
      </w:pPr>
    </w:p>
    <w:p w:rsidR="002D3DEC" w:rsidRDefault="002D3DEC" w:rsidP="002D3DEC">
      <w:pPr>
        <w:jc w:val="both"/>
      </w:pPr>
      <w:r>
        <w:t>U narednom trogodišnjem razdoblju (2025.-2027.) Geotehnički fakultet Sveučilišta u Zagrebu planirao je rashode i izdatke kako slijedi:</w:t>
      </w:r>
    </w:p>
    <w:p w:rsidR="002D3DEC" w:rsidRPr="00295E78" w:rsidRDefault="002D3DEC" w:rsidP="002D3DEC">
      <w:pPr>
        <w:tabs>
          <w:tab w:val="left" w:pos="9255"/>
        </w:tabs>
        <w:jc w:val="both"/>
        <w:rPr>
          <w:b/>
        </w:rPr>
      </w:pPr>
      <w:r>
        <w:tab/>
      </w:r>
      <w:r w:rsidRPr="00295E78">
        <w:rPr>
          <w:b/>
        </w:rPr>
        <w:t>EUR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789"/>
        <w:gridCol w:w="1784"/>
        <w:gridCol w:w="1831"/>
        <w:gridCol w:w="1831"/>
        <w:gridCol w:w="1832"/>
      </w:tblGrid>
      <w:tr w:rsidR="002D3DEC" w:rsidTr="0094268A">
        <w:tc>
          <w:tcPr>
            <w:tcW w:w="1789" w:type="dxa"/>
          </w:tcPr>
          <w:p w:rsidR="002D3DEC" w:rsidRDefault="002D3DEC" w:rsidP="00E71A9A">
            <w:pPr>
              <w:jc w:val="center"/>
            </w:pPr>
            <w:r>
              <w:t>Izvor</w:t>
            </w:r>
          </w:p>
        </w:tc>
        <w:tc>
          <w:tcPr>
            <w:tcW w:w="1784" w:type="dxa"/>
          </w:tcPr>
          <w:p w:rsidR="002D3DEC" w:rsidRDefault="002D3DEC" w:rsidP="00E71A9A">
            <w:pPr>
              <w:jc w:val="center"/>
            </w:pPr>
            <w:r>
              <w:t>Vrsta rashoda</w:t>
            </w:r>
          </w:p>
        </w:tc>
        <w:tc>
          <w:tcPr>
            <w:tcW w:w="1831" w:type="dxa"/>
          </w:tcPr>
          <w:p w:rsidR="002D3DEC" w:rsidRDefault="002D3DEC" w:rsidP="00E71A9A">
            <w:pPr>
              <w:jc w:val="center"/>
            </w:pPr>
            <w:r>
              <w:t>2025.</w:t>
            </w:r>
          </w:p>
        </w:tc>
        <w:tc>
          <w:tcPr>
            <w:tcW w:w="1831" w:type="dxa"/>
          </w:tcPr>
          <w:p w:rsidR="002D3DEC" w:rsidRDefault="002D3DEC" w:rsidP="00E71A9A">
            <w:pPr>
              <w:jc w:val="center"/>
            </w:pPr>
            <w:r>
              <w:t>2026.</w:t>
            </w:r>
          </w:p>
        </w:tc>
        <w:tc>
          <w:tcPr>
            <w:tcW w:w="1832" w:type="dxa"/>
          </w:tcPr>
          <w:p w:rsidR="002D3DEC" w:rsidRDefault="002D3DEC" w:rsidP="00E71A9A">
            <w:pPr>
              <w:jc w:val="center"/>
            </w:pPr>
            <w:r>
              <w:t>2027.</w:t>
            </w:r>
          </w:p>
        </w:tc>
      </w:tr>
      <w:tr w:rsidR="002D3DEC" w:rsidTr="0094268A">
        <w:tc>
          <w:tcPr>
            <w:tcW w:w="1789" w:type="dxa"/>
          </w:tcPr>
          <w:p w:rsidR="002D3DEC" w:rsidRDefault="002D3DEC" w:rsidP="00E71A9A">
            <w:pPr>
              <w:jc w:val="center"/>
            </w:pPr>
            <w:r>
              <w:t>11</w:t>
            </w:r>
          </w:p>
        </w:tc>
        <w:tc>
          <w:tcPr>
            <w:tcW w:w="1784" w:type="dxa"/>
          </w:tcPr>
          <w:p w:rsidR="002D3DEC" w:rsidRDefault="002D3DEC" w:rsidP="00E71A9A">
            <w:pPr>
              <w:jc w:val="center"/>
            </w:pPr>
            <w:r>
              <w:t xml:space="preserve">31, 32 i 34 </w:t>
            </w:r>
          </w:p>
        </w:tc>
        <w:tc>
          <w:tcPr>
            <w:tcW w:w="1831" w:type="dxa"/>
          </w:tcPr>
          <w:p w:rsidR="002D3DEC" w:rsidRDefault="00F232D1" w:rsidP="00E71A9A">
            <w:pPr>
              <w:jc w:val="right"/>
            </w:pPr>
            <w:r>
              <w:t>2.464.678</w:t>
            </w:r>
          </w:p>
        </w:tc>
        <w:tc>
          <w:tcPr>
            <w:tcW w:w="1831" w:type="dxa"/>
          </w:tcPr>
          <w:p w:rsidR="002D3DEC" w:rsidRDefault="00F232D1" w:rsidP="00E71A9A">
            <w:pPr>
              <w:jc w:val="right"/>
            </w:pPr>
            <w:r>
              <w:t>2.478.724</w:t>
            </w:r>
          </w:p>
        </w:tc>
        <w:tc>
          <w:tcPr>
            <w:tcW w:w="1832" w:type="dxa"/>
          </w:tcPr>
          <w:p w:rsidR="002D3DEC" w:rsidRDefault="00F232D1" w:rsidP="00E71A9A">
            <w:pPr>
              <w:jc w:val="right"/>
            </w:pPr>
            <w:r>
              <w:t>2.490.53</w:t>
            </w:r>
            <w:r w:rsidR="005B01B2">
              <w:t>3</w:t>
            </w:r>
          </w:p>
        </w:tc>
      </w:tr>
      <w:tr w:rsidR="002D3DEC" w:rsidTr="0094268A">
        <w:tc>
          <w:tcPr>
            <w:tcW w:w="1789" w:type="dxa"/>
          </w:tcPr>
          <w:p w:rsidR="002D3DEC" w:rsidRDefault="002D3DEC" w:rsidP="00E71A9A">
            <w:pPr>
              <w:jc w:val="center"/>
            </w:pPr>
            <w:r>
              <w:t>31</w:t>
            </w:r>
          </w:p>
        </w:tc>
        <w:tc>
          <w:tcPr>
            <w:tcW w:w="1784" w:type="dxa"/>
          </w:tcPr>
          <w:p w:rsidR="002D3DEC" w:rsidRDefault="002D3DEC" w:rsidP="00E71A9A">
            <w:pPr>
              <w:jc w:val="center"/>
            </w:pPr>
            <w:r>
              <w:t>31 i 42</w:t>
            </w:r>
          </w:p>
        </w:tc>
        <w:tc>
          <w:tcPr>
            <w:tcW w:w="1831" w:type="dxa"/>
          </w:tcPr>
          <w:p w:rsidR="002D3DEC" w:rsidRDefault="002D3DEC" w:rsidP="00E71A9A">
            <w:pPr>
              <w:jc w:val="right"/>
            </w:pPr>
            <w:r>
              <w:t>300.000</w:t>
            </w:r>
          </w:p>
        </w:tc>
        <w:tc>
          <w:tcPr>
            <w:tcW w:w="1831" w:type="dxa"/>
          </w:tcPr>
          <w:p w:rsidR="002D3DEC" w:rsidRDefault="002D3DEC" w:rsidP="00E71A9A">
            <w:pPr>
              <w:jc w:val="right"/>
            </w:pPr>
            <w:r>
              <w:t>325.000</w:t>
            </w:r>
          </w:p>
        </w:tc>
        <w:tc>
          <w:tcPr>
            <w:tcW w:w="1832" w:type="dxa"/>
          </w:tcPr>
          <w:p w:rsidR="002D3DEC" w:rsidRDefault="002D3DEC" w:rsidP="00E71A9A">
            <w:pPr>
              <w:jc w:val="right"/>
            </w:pPr>
            <w:r>
              <w:t>3</w:t>
            </w:r>
            <w:r w:rsidR="00065F4C">
              <w:t>25</w:t>
            </w:r>
            <w:r>
              <w:t>.000</w:t>
            </w:r>
          </w:p>
        </w:tc>
      </w:tr>
      <w:tr w:rsidR="002D3DEC" w:rsidTr="0094268A">
        <w:tc>
          <w:tcPr>
            <w:tcW w:w="1789" w:type="dxa"/>
          </w:tcPr>
          <w:p w:rsidR="002D3DEC" w:rsidRDefault="002D3DEC" w:rsidP="00E71A9A">
            <w:pPr>
              <w:jc w:val="center"/>
            </w:pPr>
            <w:r>
              <w:t>43</w:t>
            </w:r>
          </w:p>
        </w:tc>
        <w:tc>
          <w:tcPr>
            <w:tcW w:w="1784" w:type="dxa"/>
          </w:tcPr>
          <w:p w:rsidR="002D3DEC" w:rsidRDefault="002D3DEC" w:rsidP="00E71A9A">
            <w:pPr>
              <w:jc w:val="center"/>
            </w:pPr>
            <w:r>
              <w:t>31 i 42</w:t>
            </w:r>
          </w:p>
        </w:tc>
        <w:tc>
          <w:tcPr>
            <w:tcW w:w="1831" w:type="dxa"/>
          </w:tcPr>
          <w:p w:rsidR="002D3DEC" w:rsidRDefault="002D3DEC" w:rsidP="00E71A9A">
            <w:pPr>
              <w:jc w:val="right"/>
            </w:pPr>
            <w:r>
              <w:t>70.000</w:t>
            </w:r>
          </w:p>
        </w:tc>
        <w:tc>
          <w:tcPr>
            <w:tcW w:w="1831" w:type="dxa"/>
          </w:tcPr>
          <w:p w:rsidR="002D3DEC" w:rsidRDefault="002D3DEC" w:rsidP="00E71A9A">
            <w:pPr>
              <w:jc w:val="right"/>
            </w:pPr>
            <w:r>
              <w:t>85.000</w:t>
            </w:r>
          </w:p>
        </w:tc>
        <w:tc>
          <w:tcPr>
            <w:tcW w:w="1832" w:type="dxa"/>
          </w:tcPr>
          <w:p w:rsidR="002D3DEC" w:rsidRDefault="002D3DEC" w:rsidP="00E71A9A">
            <w:pPr>
              <w:jc w:val="right"/>
            </w:pPr>
            <w:r>
              <w:t>85.000</w:t>
            </w:r>
          </w:p>
        </w:tc>
      </w:tr>
      <w:tr w:rsidR="002D3DEC" w:rsidTr="0094268A">
        <w:tc>
          <w:tcPr>
            <w:tcW w:w="1789" w:type="dxa"/>
          </w:tcPr>
          <w:p w:rsidR="002D3DEC" w:rsidRDefault="002D3DEC" w:rsidP="00E71A9A">
            <w:pPr>
              <w:jc w:val="center"/>
            </w:pPr>
            <w:r>
              <w:t>51</w:t>
            </w:r>
          </w:p>
        </w:tc>
        <w:tc>
          <w:tcPr>
            <w:tcW w:w="1784" w:type="dxa"/>
          </w:tcPr>
          <w:p w:rsidR="002D3DEC" w:rsidRDefault="002D3DEC" w:rsidP="00E71A9A">
            <w:pPr>
              <w:jc w:val="center"/>
            </w:pPr>
            <w:r>
              <w:t>31, 32 i 42</w:t>
            </w:r>
          </w:p>
        </w:tc>
        <w:tc>
          <w:tcPr>
            <w:tcW w:w="1831" w:type="dxa"/>
          </w:tcPr>
          <w:p w:rsidR="002D3DEC" w:rsidRDefault="002D3DEC" w:rsidP="00E71A9A">
            <w:pPr>
              <w:jc w:val="right"/>
            </w:pPr>
            <w:r>
              <w:t>54.347</w:t>
            </w:r>
          </w:p>
        </w:tc>
        <w:tc>
          <w:tcPr>
            <w:tcW w:w="1831" w:type="dxa"/>
          </w:tcPr>
          <w:p w:rsidR="002D3DEC" w:rsidRDefault="002D3DEC" w:rsidP="00E71A9A">
            <w:pPr>
              <w:jc w:val="right"/>
            </w:pPr>
            <w:r>
              <w:t>13.692</w:t>
            </w:r>
          </w:p>
        </w:tc>
        <w:tc>
          <w:tcPr>
            <w:tcW w:w="1832" w:type="dxa"/>
          </w:tcPr>
          <w:p w:rsidR="002D3DEC" w:rsidRDefault="003C13EA" w:rsidP="00E71A9A">
            <w:pPr>
              <w:jc w:val="right"/>
            </w:pPr>
            <w:r>
              <w:t>0,00</w:t>
            </w:r>
          </w:p>
        </w:tc>
      </w:tr>
      <w:tr w:rsidR="002D3DEC" w:rsidTr="0094268A">
        <w:tc>
          <w:tcPr>
            <w:tcW w:w="1789" w:type="dxa"/>
          </w:tcPr>
          <w:p w:rsidR="002D3DEC" w:rsidRDefault="002D3DEC" w:rsidP="00E71A9A">
            <w:pPr>
              <w:jc w:val="center"/>
            </w:pPr>
            <w:r>
              <w:t>52</w:t>
            </w:r>
          </w:p>
        </w:tc>
        <w:tc>
          <w:tcPr>
            <w:tcW w:w="1784" w:type="dxa"/>
          </w:tcPr>
          <w:p w:rsidR="002D3DEC" w:rsidRDefault="002D3DEC" w:rsidP="00E71A9A">
            <w:pPr>
              <w:jc w:val="center"/>
            </w:pPr>
            <w:r>
              <w:t>31, 32 i 42</w:t>
            </w:r>
          </w:p>
        </w:tc>
        <w:tc>
          <w:tcPr>
            <w:tcW w:w="1831" w:type="dxa"/>
          </w:tcPr>
          <w:p w:rsidR="002D3DEC" w:rsidRDefault="002D3DEC" w:rsidP="00E71A9A">
            <w:pPr>
              <w:jc w:val="right"/>
            </w:pPr>
            <w:r>
              <w:t>41.898</w:t>
            </w:r>
          </w:p>
        </w:tc>
        <w:tc>
          <w:tcPr>
            <w:tcW w:w="1831" w:type="dxa"/>
          </w:tcPr>
          <w:p w:rsidR="002D3DEC" w:rsidRDefault="002D3DEC" w:rsidP="00E71A9A">
            <w:pPr>
              <w:jc w:val="right"/>
            </w:pPr>
            <w:r>
              <w:t>28.919</w:t>
            </w:r>
          </w:p>
        </w:tc>
        <w:tc>
          <w:tcPr>
            <w:tcW w:w="1832" w:type="dxa"/>
          </w:tcPr>
          <w:p w:rsidR="002D3DEC" w:rsidRDefault="002D3DEC" w:rsidP="00E71A9A">
            <w:pPr>
              <w:jc w:val="right"/>
            </w:pPr>
            <w:r>
              <w:t>22.382</w:t>
            </w:r>
          </w:p>
        </w:tc>
      </w:tr>
      <w:tr w:rsidR="0094268A" w:rsidTr="0094268A">
        <w:tc>
          <w:tcPr>
            <w:tcW w:w="1789" w:type="dxa"/>
          </w:tcPr>
          <w:p w:rsidR="0094268A" w:rsidRDefault="0094268A" w:rsidP="0094268A">
            <w:pPr>
              <w:jc w:val="center"/>
            </w:pPr>
            <w:r>
              <w:t>Ukupno</w:t>
            </w:r>
          </w:p>
        </w:tc>
        <w:tc>
          <w:tcPr>
            <w:tcW w:w="1784" w:type="dxa"/>
          </w:tcPr>
          <w:p w:rsidR="0094268A" w:rsidRDefault="0094268A" w:rsidP="0094268A">
            <w:pPr>
              <w:jc w:val="center"/>
            </w:pPr>
          </w:p>
        </w:tc>
        <w:tc>
          <w:tcPr>
            <w:tcW w:w="1831" w:type="dxa"/>
          </w:tcPr>
          <w:p w:rsidR="0094268A" w:rsidRDefault="00F232D1" w:rsidP="0094268A">
            <w:pPr>
              <w:jc w:val="right"/>
            </w:pPr>
            <w:r>
              <w:t>2.930.923</w:t>
            </w:r>
          </w:p>
        </w:tc>
        <w:tc>
          <w:tcPr>
            <w:tcW w:w="1831" w:type="dxa"/>
          </w:tcPr>
          <w:p w:rsidR="0094268A" w:rsidRDefault="00F232D1" w:rsidP="0094268A">
            <w:pPr>
              <w:jc w:val="right"/>
            </w:pPr>
            <w:r>
              <w:t>2.931.335</w:t>
            </w:r>
          </w:p>
        </w:tc>
        <w:tc>
          <w:tcPr>
            <w:tcW w:w="1832" w:type="dxa"/>
          </w:tcPr>
          <w:p w:rsidR="0094268A" w:rsidRDefault="00F232D1" w:rsidP="0094268A">
            <w:pPr>
              <w:jc w:val="right"/>
            </w:pPr>
            <w:r>
              <w:t>2.922.91</w:t>
            </w:r>
            <w:r w:rsidR="005B01B2">
              <w:t>5</w:t>
            </w:r>
            <w:bookmarkStart w:id="2" w:name="_GoBack"/>
            <w:bookmarkEnd w:id="2"/>
          </w:p>
        </w:tc>
      </w:tr>
    </w:tbl>
    <w:p w:rsidR="002D3DEC" w:rsidRDefault="002D3DEC" w:rsidP="002D3DEC">
      <w:pPr>
        <w:jc w:val="both"/>
      </w:pPr>
    </w:p>
    <w:p w:rsidR="002D3DEC" w:rsidRDefault="002D3DEC" w:rsidP="002D3DEC">
      <w:pPr>
        <w:jc w:val="both"/>
      </w:pPr>
      <w:r>
        <w:t>Ukupni rashodi i izdaci planirani su u 2025., 2026. i 2027. godini su na razini plana za 2024. godinu. Prema vrsti rashoda najznačajniji iznos odnosi se na rashode za plaće odnosno zaposlene. Iz izvora 31 i 43 planirani su rashodi za</w:t>
      </w:r>
      <w:r w:rsidR="003C13EA">
        <w:t xml:space="preserve"> plaće, materijalne rashode i</w:t>
      </w:r>
      <w:r>
        <w:t xml:space="preserve"> nabavu dugotrajne nefinancijske imovine, što najviše ovisi o realiziranim prihodima iz istih izvora. Iz </w:t>
      </w:r>
      <w:r>
        <w:lastRenderedPageBreak/>
        <w:t xml:space="preserve">izvora 51 i 52 planirani su rashodi prema dinamici projektnog plana, a rashodi iz izvora 11 za plaće i materijalna prava zaposlenika te režijske troškove i </w:t>
      </w:r>
      <w:r w:rsidR="003C13EA">
        <w:t xml:space="preserve">ostale </w:t>
      </w:r>
      <w:r>
        <w:t xml:space="preserve">troškove redovnog poslovanja. </w:t>
      </w:r>
    </w:p>
    <w:p w:rsidR="002D3DEC" w:rsidRDefault="002D3DEC" w:rsidP="002D3DEC">
      <w:pPr>
        <w:jc w:val="both"/>
      </w:pPr>
    </w:p>
    <w:p w:rsidR="002D3DEC" w:rsidRDefault="002D3DEC" w:rsidP="002D3DEC">
      <w:pPr>
        <w:jc w:val="both"/>
      </w:pPr>
      <w:r>
        <w:t xml:space="preserve">  </w:t>
      </w:r>
    </w:p>
    <w:p w:rsidR="002D3DEC" w:rsidRDefault="002D3DEC" w:rsidP="002D3DEC">
      <w:pPr>
        <w:jc w:val="both"/>
        <w:rPr>
          <w:b/>
        </w:rPr>
      </w:pPr>
      <w:r>
        <w:rPr>
          <w:b/>
        </w:rPr>
        <w:t>PRIJENOS SREDSTAVA IZ PRETHODNE I U SLJEDEĆU GODINU</w:t>
      </w:r>
    </w:p>
    <w:p w:rsidR="002D3DEC" w:rsidRDefault="002D3DEC" w:rsidP="002D3DEC">
      <w:pPr>
        <w:jc w:val="both"/>
        <w:rPr>
          <w:b/>
        </w:rPr>
      </w:pPr>
    </w:p>
    <w:p w:rsidR="002D3DEC" w:rsidRDefault="002D3DEC" w:rsidP="002D3DEC">
      <w:pPr>
        <w:jc w:val="both"/>
      </w:pPr>
      <w:r>
        <w:t xml:space="preserve">Na poziciji donosa, odnosno odnosa sredstava za 2025., 2026. i 2027. godinu nema planiranih sredstava. </w:t>
      </w:r>
    </w:p>
    <w:p w:rsidR="002D3DEC" w:rsidRDefault="002D3DEC" w:rsidP="002D3DEC">
      <w:pPr>
        <w:jc w:val="both"/>
      </w:pPr>
    </w:p>
    <w:p w:rsidR="002D3DEC" w:rsidRDefault="002D3DEC" w:rsidP="002D3DEC">
      <w:pPr>
        <w:jc w:val="both"/>
      </w:pPr>
      <w:r>
        <w:t xml:space="preserve"> </w:t>
      </w:r>
    </w:p>
    <w:p w:rsidR="002D3DEC" w:rsidRDefault="002D3DEC" w:rsidP="002D3DEC">
      <w:pPr>
        <w:jc w:val="both"/>
        <w:rPr>
          <w:b/>
        </w:rPr>
      </w:pPr>
      <w:r>
        <w:rPr>
          <w:b/>
        </w:rPr>
        <w:t>UKUPNE I DOSPJELE OBVEZE</w:t>
      </w:r>
    </w:p>
    <w:p w:rsidR="002D3DEC" w:rsidRDefault="002D3DEC" w:rsidP="002D3DEC">
      <w:pPr>
        <w:tabs>
          <w:tab w:val="left" w:pos="8340"/>
        </w:tabs>
        <w:jc w:val="both"/>
        <w:rPr>
          <w:b/>
        </w:rPr>
      </w:pPr>
      <w:r>
        <w:rPr>
          <w:b/>
        </w:rPr>
        <w:tab/>
        <w:t>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2D3DEC" w:rsidTr="00E71A9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Default="002D3DEC" w:rsidP="00E71A9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Default="002D3DEC" w:rsidP="00E71A9A">
            <w:pPr>
              <w:jc w:val="center"/>
            </w:pPr>
            <w:r>
              <w:t>Stanje obveza na dan 31.12.2023.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Default="002D3DEC" w:rsidP="00E71A9A">
            <w:pPr>
              <w:jc w:val="center"/>
            </w:pPr>
            <w:r>
              <w:t>Stanje obveza na dan 30.06.2024.</w:t>
            </w:r>
          </w:p>
        </w:tc>
      </w:tr>
      <w:tr w:rsidR="002D3DEC" w:rsidTr="00E71A9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Default="002D3DEC" w:rsidP="00E71A9A">
            <w:pPr>
              <w:jc w:val="both"/>
            </w:pPr>
            <w:r>
              <w:t>Ukupne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Default="002D3DEC" w:rsidP="00E71A9A">
            <w:pPr>
              <w:jc w:val="right"/>
            </w:pPr>
            <w:r>
              <w:t>245.933,60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Default="002D3DEC" w:rsidP="00E71A9A">
            <w:pPr>
              <w:jc w:val="right"/>
            </w:pPr>
            <w:r>
              <w:t>316.841,53</w:t>
            </w:r>
          </w:p>
        </w:tc>
      </w:tr>
      <w:tr w:rsidR="002D3DEC" w:rsidTr="00E71A9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Default="002D3DEC" w:rsidP="00E71A9A">
            <w:pPr>
              <w:jc w:val="both"/>
            </w:pPr>
            <w:r>
              <w:t>Dospjele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Default="002D3DEC" w:rsidP="00E71A9A">
            <w:pPr>
              <w:jc w:val="right"/>
            </w:pPr>
            <w:r>
              <w:t>9.052,23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Default="002D3DEC" w:rsidP="00E71A9A">
            <w:pPr>
              <w:jc w:val="right"/>
            </w:pPr>
            <w:r>
              <w:t>18.912,35</w:t>
            </w:r>
          </w:p>
        </w:tc>
      </w:tr>
    </w:tbl>
    <w:p w:rsidR="002D3DEC" w:rsidRDefault="002D3DEC" w:rsidP="002D3DEC"/>
    <w:p w:rsidR="002D3DEC" w:rsidRDefault="002D3DEC" w:rsidP="002D3DEC">
      <w:pPr>
        <w:rPr>
          <w:b/>
        </w:rPr>
      </w:pPr>
    </w:p>
    <w:p w:rsidR="002D3DEC" w:rsidRDefault="002D3DEC" w:rsidP="002D3DEC"/>
    <w:p w:rsidR="002D3DEC" w:rsidRDefault="002D3DEC" w:rsidP="002D3DEC"/>
    <w:p w:rsidR="002D3DEC" w:rsidRPr="00E910A5" w:rsidRDefault="002D3DEC" w:rsidP="002D3DEC">
      <w:bookmarkStart w:id="3" w:name="_Hlk181695907"/>
      <w:r w:rsidRPr="00E910A5">
        <w:t>Voditeljica računovodstva:</w:t>
      </w:r>
      <w:r>
        <w:tab/>
      </w:r>
      <w:r>
        <w:tab/>
      </w:r>
    </w:p>
    <w:p w:rsidR="002D3DEC" w:rsidRPr="00E910A5" w:rsidRDefault="002F4078" w:rsidP="002D3DEC">
      <w:r>
        <w:t xml:space="preserve">  </w:t>
      </w:r>
      <w:r w:rsidR="002D3DEC">
        <w:t xml:space="preserve">Maja Krivak, </w:t>
      </w:r>
      <w:proofErr w:type="spellStart"/>
      <w:r w:rsidR="002D3DEC">
        <w:t>mag</w:t>
      </w:r>
      <w:proofErr w:type="spellEnd"/>
      <w:r w:rsidR="002D3DEC">
        <w:t xml:space="preserve">. </w:t>
      </w:r>
      <w:proofErr w:type="spellStart"/>
      <w:r w:rsidR="002D3DEC">
        <w:t>oec</w:t>
      </w:r>
      <w:proofErr w:type="spellEnd"/>
      <w:r w:rsidR="002D3DEC">
        <w:t>.</w:t>
      </w:r>
    </w:p>
    <w:p w:rsidR="002D3DEC" w:rsidRDefault="002D3DEC" w:rsidP="002D3DEC">
      <w:pPr>
        <w:ind w:left="7080" w:firstLine="708"/>
      </w:pPr>
    </w:p>
    <w:p w:rsidR="002D3DEC" w:rsidRDefault="002D3DEC" w:rsidP="002D3DEC">
      <w:pPr>
        <w:ind w:left="7080" w:firstLine="708"/>
      </w:pPr>
    </w:p>
    <w:p w:rsidR="002D3DEC" w:rsidRDefault="002D3DEC" w:rsidP="002D3DEC">
      <w:pPr>
        <w:ind w:left="7080" w:firstLine="708"/>
      </w:pPr>
    </w:p>
    <w:p w:rsidR="002D3DEC" w:rsidRPr="005A56EF" w:rsidRDefault="00327E9A" w:rsidP="00327E9A">
      <w:pPr>
        <w:ind w:left="6372"/>
      </w:pPr>
      <w:r>
        <w:t xml:space="preserve"> </w:t>
      </w:r>
      <w:r w:rsidR="00063ABE">
        <w:t xml:space="preserve">  </w:t>
      </w:r>
      <w:r w:rsidR="002D3DEC" w:rsidRPr="005A56EF">
        <w:t>Dekan</w:t>
      </w:r>
      <w:r w:rsidR="002D3DEC">
        <w:t>ica</w:t>
      </w:r>
      <w:r w:rsidR="002D3DEC" w:rsidRPr="005A56EF">
        <w:t>:</w:t>
      </w:r>
    </w:p>
    <w:p w:rsidR="002D3DEC" w:rsidRPr="005A56EF" w:rsidRDefault="002D3DEC" w:rsidP="00327E9A">
      <w:pPr>
        <w:ind w:left="5664"/>
      </w:pPr>
      <w:r w:rsidRPr="005A56EF">
        <w:t xml:space="preserve">izv.prof.dr.sc. </w:t>
      </w:r>
      <w:r>
        <w:t>Ivana Grčić</w:t>
      </w:r>
      <w:bookmarkEnd w:id="3"/>
      <w:r w:rsidR="00327E9A">
        <w:t>, v.r.</w:t>
      </w:r>
    </w:p>
    <w:p w:rsidR="002D3DEC" w:rsidRPr="00211EF6" w:rsidRDefault="002D3DEC" w:rsidP="002D3DEC">
      <w:pPr>
        <w:spacing w:after="240" w:line="276" w:lineRule="auto"/>
        <w:jc w:val="both"/>
        <w:rPr>
          <w:rFonts w:ascii="UniZgLight" w:hAnsi="UniZgLight"/>
          <w:bCs/>
          <w:sz w:val="22"/>
          <w:szCs w:val="22"/>
        </w:rPr>
      </w:pPr>
    </w:p>
    <w:p w:rsidR="009B1240" w:rsidRPr="00211EF6" w:rsidRDefault="009B1240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:rsidR="009B1240" w:rsidRPr="00211EF6" w:rsidRDefault="009B1240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:rsidR="009B1240" w:rsidRPr="00211EF6" w:rsidRDefault="009B1240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:rsidR="009B1240" w:rsidRDefault="009B1240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:rsidR="009B7412" w:rsidRDefault="009B7412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:rsidR="009B7412" w:rsidRDefault="009B7412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:rsidR="009B7412" w:rsidRDefault="009B7412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:rsidR="009B7412" w:rsidRDefault="009B7412" w:rsidP="00945EF4">
      <w:pPr>
        <w:spacing w:after="240" w:line="276" w:lineRule="auto"/>
        <w:ind w:left="1418"/>
        <w:jc w:val="both"/>
        <w:rPr>
          <w:rFonts w:ascii="UniZgLight" w:hAnsi="UniZgLight"/>
          <w:bCs/>
          <w:sz w:val="22"/>
          <w:szCs w:val="22"/>
        </w:rPr>
      </w:pPr>
    </w:p>
    <w:p w:rsidR="009B1240" w:rsidRPr="00211EF6" w:rsidRDefault="009B1240" w:rsidP="00203D19">
      <w:pPr>
        <w:spacing w:after="240" w:line="276" w:lineRule="auto"/>
        <w:jc w:val="both"/>
        <w:rPr>
          <w:rFonts w:ascii="UniZgLight" w:hAnsi="UniZgLight"/>
          <w:bCs/>
          <w:sz w:val="22"/>
          <w:szCs w:val="22"/>
        </w:rPr>
      </w:pPr>
    </w:p>
    <w:sectPr w:rsidR="009B1240" w:rsidRPr="00211EF6" w:rsidSect="002D3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83D" w:rsidRDefault="0006283D" w:rsidP="00D30D89">
      <w:r>
        <w:separator/>
      </w:r>
    </w:p>
  </w:endnote>
  <w:endnote w:type="continuationSeparator" w:id="0">
    <w:p w:rsidR="0006283D" w:rsidRDefault="0006283D" w:rsidP="00D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BDB" w:rsidRPr="00211EF6" w:rsidRDefault="000A4BDB" w:rsidP="00211EF6">
    <w:pPr>
      <w:pStyle w:val="Podnoje"/>
      <w:jc w:val="right"/>
      <w:rPr>
        <w:rFonts w:asciiTheme="majorHAnsi" w:hAnsiTheme="majorHAnsi" w:cstheme="majorHAnsi"/>
        <w:b/>
        <w:bCs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B4A" w:rsidRPr="00211EF6" w:rsidRDefault="00071B4A" w:rsidP="00071B4A">
    <w:pPr>
      <w:pStyle w:val="Podnoje"/>
      <w:tabs>
        <w:tab w:val="left" w:pos="708"/>
      </w:tabs>
      <w:rPr>
        <w:rFonts w:asciiTheme="majorHAnsi" w:hAnsiTheme="majorHAnsi" w:cs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83D" w:rsidRDefault="0006283D" w:rsidP="00D30D89">
      <w:r>
        <w:separator/>
      </w:r>
    </w:p>
  </w:footnote>
  <w:footnote w:type="continuationSeparator" w:id="0">
    <w:p w:rsidR="0006283D" w:rsidRDefault="0006283D" w:rsidP="00D3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3" w:type="dxa"/>
      <w:tblLayout w:type="fixed"/>
      <w:tblLook w:val="04A0" w:firstRow="1" w:lastRow="0" w:firstColumn="1" w:lastColumn="0" w:noHBand="0" w:noVBand="1"/>
    </w:tblPr>
    <w:tblGrid>
      <w:gridCol w:w="3539"/>
      <w:gridCol w:w="4541"/>
      <w:gridCol w:w="2263"/>
    </w:tblGrid>
    <w:tr w:rsidR="00211EF6" w:rsidRPr="00142461" w:rsidTr="00211EF6">
      <w:trPr>
        <w:trHeight w:val="430"/>
      </w:trPr>
      <w:tc>
        <w:tcPr>
          <w:tcW w:w="3539" w:type="dxa"/>
          <w:vMerge w:val="restart"/>
          <w:shd w:val="clear" w:color="auto" w:fill="auto"/>
          <w:vAlign w:val="center"/>
        </w:tcPr>
        <w:p w:rsidR="00211EF6" w:rsidRPr="00340DB6" w:rsidRDefault="00211EF6" w:rsidP="00211EF6">
          <w:r>
            <w:rPr>
              <w:noProof/>
            </w:rPr>
            <w:drawing>
              <wp:inline distT="0" distB="0" distL="0" distR="0" wp14:anchorId="2146912B" wp14:editId="2B3BE7FA">
                <wp:extent cx="1092285" cy="648000"/>
                <wp:effectExtent l="0" t="0" r="0" b="0"/>
                <wp:docPr id="1770591220" name="Slika 3" descr="Slika na kojoj se prikazuje grafika, snimka zaslona, Font, grafički dizajn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742794" name="Slika 3" descr="Slika na kojoj se prikazuje grafika, snimka zaslona, Font, grafički dizajn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5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  <w:shd w:val="clear" w:color="auto" w:fill="auto"/>
          <w:vAlign w:val="center"/>
        </w:tcPr>
        <w:p w:rsidR="00211EF6" w:rsidRPr="007838DD" w:rsidRDefault="00211EF6" w:rsidP="00211EF6">
          <w:pPr>
            <w:pStyle w:val="Zaglavlje"/>
            <w:tabs>
              <w:tab w:val="clear" w:pos="4536"/>
              <w:tab w:val="clear" w:pos="9072"/>
            </w:tabs>
            <w:ind w:left="-106"/>
            <w:rPr>
              <w:rFonts w:asciiTheme="majorHAnsi" w:hAnsiTheme="majorHAnsi" w:cstheme="majorHAnsi"/>
              <w:b/>
              <w:bCs/>
              <w:sz w:val="26"/>
              <w:szCs w:val="26"/>
            </w:rPr>
          </w:pPr>
        </w:p>
      </w:tc>
      <w:tc>
        <w:tcPr>
          <w:tcW w:w="2263" w:type="dxa"/>
          <w:vMerge w:val="restart"/>
          <w:shd w:val="clear" w:color="auto" w:fill="auto"/>
          <w:vAlign w:val="center"/>
        </w:tcPr>
        <w:p w:rsidR="00211EF6" w:rsidRPr="00142461" w:rsidRDefault="00211EF6" w:rsidP="00211EF6">
          <w:pPr>
            <w:ind w:left="316" w:right="-109" w:hanging="316"/>
            <w:jc w:val="center"/>
            <w:rPr>
              <w:rFonts w:ascii="UnizgDisplay Normal" w:hAnsi="UnizgDisplay Normal"/>
              <w:sz w:val="19"/>
              <w:szCs w:val="19"/>
            </w:rPr>
          </w:pPr>
          <w:r>
            <w:rPr>
              <w:noProof/>
            </w:rPr>
            <w:drawing>
              <wp:inline distT="0" distB="0" distL="0" distR="0" wp14:anchorId="343F34FE" wp14:editId="77E0BF93">
                <wp:extent cx="1182625" cy="648000"/>
                <wp:effectExtent l="0" t="0" r="0" b="0"/>
                <wp:docPr id="403700580" name="Slika 403700580" descr="Slika na kojoj se prikazuje snimka zaslona, krug, grafika, svjetlo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3700580" name="Slika 403700580" descr="Slika na kojoj se prikazuje snimka zaslona, krug, grafika, svjetlo&#10;&#10;Opis je automatski generir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hq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-1"/>
                        <a:stretch/>
                      </pic:blipFill>
                      <pic:spPr bwMode="auto">
                        <a:xfrm>
                          <a:off x="0" y="0"/>
                          <a:ext cx="1182625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11EF6" w:rsidRPr="00142461" w:rsidTr="00211EF6">
      <w:trPr>
        <w:trHeight w:val="316"/>
      </w:trPr>
      <w:tc>
        <w:tcPr>
          <w:tcW w:w="3539" w:type="dxa"/>
          <w:vMerge/>
          <w:shd w:val="clear" w:color="auto" w:fill="auto"/>
          <w:vAlign w:val="center"/>
        </w:tcPr>
        <w:p w:rsidR="00211EF6" w:rsidRDefault="00211EF6" w:rsidP="00211EF6">
          <w:pPr>
            <w:rPr>
              <w:noProof/>
            </w:rPr>
          </w:pPr>
        </w:p>
      </w:tc>
      <w:tc>
        <w:tcPr>
          <w:tcW w:w="4541" w:type="dxa"/>
          <w:shd w:val="clear" w:color="auto" w:fill="auto"/>
          <w:vAlign w:val="center"/>
        </w:tcPr>
        <w:p w:rsidR="00211EF6" w:rsidRPr="007838DD" w:rsidRDefault="00211EF6" w:rsidP="00211EF6">
          <w:pPr>
            <w:pStyle w:val="Zaglavlje"/>
            <w:tabs>
              <w:tab w:val="clear" w:pos="4536"/>
              <w:tab w:val="clear" w:pos="9072"/>
            </w:tabs>
            <w:ind w:left="-106"/>
            <w:rPr>
              <w:rFonts w:asciiTheme="majorHAnsi" w:hAnsiTheme="majorHAnsi" w:cstheme="majorHAnsi"/>
              <w:sz w:val="26"/>
              <w:szCs w:val="26"/>
            </w:rPr>
          </w:pPr>
        </w:p>
      </w:tc>
      <w:tc>
        <w:tcPr>
          <w:tcW w:w="2263" w:type="dxa"/>
          <w:vMerge/>
          <w:shd w:val="clear" w:color="auto" w:fill="auto"/>
          <w:vAlign w:val="center"/>
        </w:tcPr>
        <w:p w:rsidR="00211EF6" w:rsidRDefault="00211EF6" w:rsidP="00211EF6">
          <w:pPr>
            <w:ind w:left="316" w:right="-109" w:hanging="316"/>
            <w:jc w:val="center"/>
            <w:rPr>
              <w:noProof/>
            </w:rPr>
          </w:pPr>
        </w:p>
      </w:tc>
    </w:tr>
  </w:tbl>
  <w:p w:rsidR="005F53AF" w:rsidRPr="00211EF6" w:rsidRDefault="0006283D" w:rsidP="00211EF6">
    <w:pPr>
      <w:pStyle w:val="Zaglavlje"/>
    </w:pPr>
    <w:r>
      <w:rPr>
        <w:rFonts w:ascii="UnizgDisplay Normal" w:hAnsi="UnizgDisplay Normal"/>
        <w:noProof/>
        <w:sz w:val="19"/>
        <w:szCs w:val="19"/>
      </w:rPr>
      <w:object w:dxaOrig="1440" w:dyaOrig="1440" w14:anchorId="04225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87.55pt;margin-top:-51.6pt;width:50.15pt;height:50.15pt;z-index:251699200;mso-position-horizontal-relative:text;mso-position-vertical-relative:text">
          <v:imagedata r:id="rId4" o:title=""/>
        </v:shape>
        <o:OLEObject Type="Embed" ProgID="CorelDraw.Graphic.15" ShapeID="_x0000_s2059" DrawAspect="Content" ObjectID="_1795495220" r:id="rId5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3" w:type="dxa"/>
      <w:tblLayout w:type="fixed"/>
      <w:tblLook w:val="04A0" w:firstRow="1" w:lastRow="0" w:firstColumn="1" w:lastColumn="0" w:noHBand="0" w:noVBand="1"/>
    </w:tblPr>
    <w:tblGrid>
      <w:gridCol w:w="3539"/>
      <w:gridCol w:w="4253"/>
      <w:gridCol w:w="2551"/>
    </w:tblGrid>
    <w:tr w:rsidR="0017429E" w:rsidRPr="00142461" w:rsidTr="00113FAA">
      <w:trPr>
        <w:trHeight w:val="430"/>
      </w:trPr>
      <w:tc>
        <w:tcPr>
          <w:tcW w:w="3539" w:type="dxa"/>
          <w:vMerge w:val="restart"/>
          <w:shd w:val="clear" w:color="auto" w:fill="auto"/>
          <w:vAlign w:val="center"/>
        </w:tcPr>
        <w:p w:rsidR="0017429E" w:rsidRPr="00340DB6" w:rsidRDefault="0017429E" w:rsidP="0017429E">
          <w:bookmarkStart w:id="4" w:name="_Hlk6307134"/>
          <w:bookmarkStart w:id="5" w:name="_Hlk6307135"/>
          <w:bookmarkStart w:id="6" w:name="_Hlk6314826"/>
          <w:bookmarkStart w:id="7" w:name="_Hlk6314827"/>
          <w:bookmarkStart w:id="8" w:name="_Hlk6315743"/>
          <w:bookmarkStart w:id="9" w:name="_Hlk6315744"/>
          <w:r>
            <w:rPr>
              <w:noProof/>
            </w:rPr>
            <w:drawing>
              <wp:inline distT="0" distB="0" distL="0" distR="0" wp14:anchorId="3EE98D1C" wp14:editId="20D74B75">
                <wp:extent cx="1395699" cy="828000"/>
                <wp:effectExtent l="0" t="0" r="0" b="0"/>
                <wp:docPr id="1711742794" name="Slika 3" descr="Slika na kojoj se prikazuje grafika, snimka zaslona, Font, grafički dizajn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742794" name="Slika 3" descr="Slika na kojoj se prikazuje grafika, snimka zaslona, Font, grafički dizajn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69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7429E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sz w:val="32"/>
              <w:szCs w:val="32"/>
            </w:rPr>
          </w:pPr>
          <w:r w:rsidRPr="00A47539">
            <w:rPr>
              <w:rFonts w:asciiTheme="majorHAnsi" w:hAnsiTheme="majorHAnsi" w:cstheme="majorHAnsi"/>
              <w:sz w:val="32"/>
              <w:szCs w:val="32"/>
            </w:rPr>
            <w:t>Sveučilište u Zagrebu</w:t>
          </w:r>
        </w:p>
        <w:p w:rsidR="0017429E" w:rsidRPr="00A47539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sz w:val="32"/>
              <w:szCs w:val="32"/>
            </w:rPr>
          </w:pPr>
          <w:r w:rsidRPr="00A47539">
            <w:rPr>
              <w:rFonts w:asciiTheme="majorHAnsi" w:hAnsiTheme="majorHAnsi" w:cstheme="majorHAnsi"/>
              <w:b/>
              <w:bCs/>
              <w:sz w:val="32"/>
              <w:szCs w:val="32"/>
            </w:rPr>
            <w:t>GEOTEHNIČKI FAKULTET</w:t>
          </w:r>
        </w:p>
      </w:tc>
      <w:tc>
        <w:tcPr>
          <w:tcW w:w="2551" w:type="dxa"/>
          <w:vMerge w:val="restart"/>
          <w:shd w:val="clear" w:color="auto" w:fill="auto"/>
          <w:vAlign w:val="center"/>
        </w:tcPr>
        <w:p w:rsidR="0017429E" w:rsidRPr="00142461" w:rsidRDefault="0017429E" w:rsidP="0017429E">
          <w:pPr>
            <w:ind w:left="316" w:right="-109" w:hanging="316"/>
            <w:jc w:val="right"/>
            <w:rPr>
              <w:rFonts w:ascii="UnizgDisplay Normal" w:hAnsi="UnizgDisplay Normal"/>
              <w:sz w:val="19"/>
              <w:szCs w:val="19"/>
            </w:rPr>
          </w:pPr>
          <w:r>
            <w:rPr>
              <w:noProof/>
            </w:rPr>
            <w:drawing>
              <wp:inline distT="0" distB="0" distL="0" distR="0" wp14:anchorId="7E768AA3" wp14:editId="24B185D4">
                <wp:extent cx="1490257" cy="828000"/>
                <wp:effectExtent l="0" t="0" r="0" b="0"/>
                <wp:docPr id="2009073410" name="Slika 2009073410" descr="Slika na kojoj se prikazuje snimka zaslona, krug, grafika, svjetlo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073410" name="Slika 2009073410" descr="Slika na kojoj se prikazuje snimka zaslona, krug, grafika, svjetlo&#10;&#10;Opis je automatski generir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hq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-1"/>
                        <a:stretch/>
                      </pic:blipFill>
                      <pic:spPr bwMode="auto">
                        <a:xfrm>
                          <a:off x="0" y="0"/>
                          <a:ext cx="1490257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7429E" w:rsidRPr="00142461" w:rsidTr="00113FAA">
      <w:trPr>
        <w:trHeight w:val="189"/>
      </w:trPr>
      <w:tc>
        <w:tcPr>
          <w:tcW w:w="3539" w:type="dxa"/>
          <w:vMerge/>
          <w:shd w:val="clear" w:color="auto" w:fill="auto"/>
          <w:vAlign w:val="center"/>
        </w:tcPr>
        <w:p w:rsidR="0017429E" w:rsidRDefault="0017429E" w:rsidP="0017429E">
          <w:pPr>
            <w:rPr>
              <w:noProof/>
            </w:rPr>
          </w:pPr>
        </w:p>
      </w:tc>
      <w:tc>
        <w:tcPr>
          <w:tcW w:w="425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17429E" w:rsidRPr="00A47539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b/>
              <w:bCs/>
              <w:sz w:val="14"/>
              <w:szCs w:val="14"/>
            </w:rPr>
          </w:pP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Hallerova aleja 7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|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HR - 42000 Varaždin</w:t>
          </w:r>
        </w:p>
        <w:p w:rsidR="0017429E" w:rsidRPr="00A47539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</w:rPr>
          </w:pP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telefon: +385 (0)42 408 900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|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e-pošta: ured.dekana@gfv.unizg.hr     </w:t>
          </w:r>
        </w:p>
        <w:p w:rsidR="0017429E" w:rsidRPr="007838DD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sz w:val="26"/>
              <w:szCs w:val="26"/>
            </w:rPr>
          </w:pPr>
          <w:r w:rsidRPr="00A47539">
            <w:rPr>
              <w:rFonts w:asciiTheme="majorHAnsi" w:hAnsiTheme="majorHAnsi" w:cstheme="majorHAnsi"/>
              <w:b/>
              <w:sz w:val="14"/>
              <w:szCs w:val="14"/>
            </w:rPr>
            <w:t>OIB: 16146181375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|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sz w:val="14"/>
              <w:szCs w:val="14"/>
            </w:rPr>
            <w:t>mrežna stranica: www.gfv.unizg.hr</w:t>
          </w:r>
        </w:p>
      </w:tc>
      <w:tc>
        <w:tcPr>
          <w:tcW w:w="2551" w:type="dxa"/>
          <w:vMerge/>
          <w:shd w:val="clear" w:color="auto" w:fill="auto"/>
          <w:vAlign w:val="center"/>
        </w:tcPr>
        <w:p w:rsidR="0017429E" w:rsidRDefault="0017429E" w:rsidP="0017429E">
          <w:pPr>
            <w:ind w:left="316" w:right="-109" w:hanging="316"/>
            <w:jc w:val="center"/>
            <w:rPr>
              <w:noProof/>
            </w:rPr>
          </w:pPr>
        </w:p>
      </w:tc>
    </w:tr>
  </w:tbl>
  <w:bookmarkEnd w:id="4"/>
  <w:bookmarkEnd w:id="5"/>
  <w:bookmarkEnd w:id="6"/>
  <w:bookmarkEnd w:id="7"/>
  <w:bookmarkEnd w:id="8"/>
  <w:bookmarkEnd w:id="9"/>
  <w:p w:rsidR="00135F62" w:rsidRPr="0017429E" w:rsidRDefault="0006283D" w:rsidP="0017429E">
    <w:pPr>
      <w:pStyle w:val="Zaglavlje"/>
    </w:pPr>
    <w:r>
      <w:rPr>
        <w:noProof/>
      </w:rPr>
      <w:object w:dxaOrig="1440" w:dyaOrig="1440" w14:anchorId="217AA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108.05pt;margin-top:-65.75pt;width:63.85pt;height:63.85pt;z-index:251658240;mso-position-horizontal-relative:text;mso-position-vertical-relative:text">
          <v:imagedata r:id="rId4" o:title=""/>
        </v:shape>
        <o:OLEObject Type="Embed" ProgID="CorelDraw.Graphic.15" ShapeID="_x0000_s2062" DrawAspect="Content" ObjectID="_1795495221" r:id="rId5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929"/>
    <w:multiLevelType w:val="hybridMultilevel"/>
    <w:tmpl w:val="8FA05962"/>
    <w:lvl w:ilvl="0" w:tplc="96E436AA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D5D2F"/>
    <w:multiLevelType w:val="hybridMultilevel"/>
    <w:tmpl w:val="5C9E9B94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B9656C"/>
    <w:multiLevelType w:val="hybridMultilevel"/>
    <w:tmpl w:val="0DA24D86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C38BB3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9B730A3"/>
    <w:multiLevelType w:val="hybridMultilevel"/>
    <w:tmpl w:val="B0CE7906"/>
    <w:lvl w:ilvl="0" w:tplc="24C02A7E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E43146"/>
    <w:multiLevelType w:val="hybridMultilevel"/>
    <w:tmpl w:val="F3A0C6FA"/>
    <w:lvl w:ilvl="0" w:tplc="11CE80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9747B0"/>
    <w:multiLevelType w:val="hybridMultilevel"/>
    <w:tmpl w:val="C3D696E4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4741F86"/>
    <w:multiLevelType w:val="hybridMultilevel"/>
    <w:tmpl w:val="389C4A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5653AE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9FB47D0"/>
    <w:multiLevelType w:val="hybridMultilevel"/>
    <w:tmpl w:val="5B648614"/>
    <w:lvl w:ilvl="0" w:tplc="8B106A2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44842"/>
    <w:multiLevelType w:val="hybridMultilevel"/>
    <w:tmpl w:val="8F9E3ED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E4708D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373853"/>
    <w:multiLevelType w:val="hybridMultilevel"/>
    <w:tmpl w:val="814A8A7E"/>
    <w:lvl w:ilvl="0" w:tplc="922C37EA">
      <w:numFmt w:val="bullet"/>
      <w:lvlText w:val="-"/>
      <w:lvlJc w:val="left"/>
      <w:pPr>
        <w:ind w:left="1778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44D196D"/>
    <w:multiLevelType w:val="hybridMultilevel"/>
    <w:tmpl w:val="DAD60406"/>
    <w:lvl w:ilvl="0" w:tplc="1C38F8D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CB3C34"/>
    <w:multiLevelType w:val="hybridMultilevel"/>
    <w:tmpl w:val="CFF4495E"/>
    <w:lvl w:ilvl="0" w:tplc="55261CD2">
      <w:numFmt w:val="bullet"/>
      <w:lvlText w:val="-"/>
      <w:lvlJc w:val="left"/>
      <w:pPr>
        <w:ind w:left="2136" w:hanging="360"/>
      </w:pPr>
      <w:rPr>
        <w:rFonts w:ascii="Corbel" w:eastAsia="Calibri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21E3667"/>
    <w:multiLevelType w:val="hybridMultilevel"/>
    <w:tmpl w:val="9444999E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93822A5"/>
    <w:multiLevelType w:val="hybridMultilevel"/>
    <w:tmpl w:val="77520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B6104B1"/>
    <w:multiLevelType w:val="hybridMultilevel"/>
    <w:tmpl w:val="C4D80B9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0E67E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B1F5A"/>
    <w:multiLevelType w:val="hybridMultilevel"/>
    <w:tmpl w:val="E46ED9D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D8328A9"/>
    <w:multiLevelType w:val="hybridMultilevel"/>
    <w:tmpl w:val="F760DA66"/>
    <w:lvl w:ilvl="0" w:tplc="9CCA8F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12B67D0"/>
    <w:multiLevelType w:val="hybridMultilevel"/>
    <w:tmpl w:val="EBD4D78A"/>
    <w:lvl w:ilvl="0" w:tplc="55261CD2">
      <w:numFmt w:val="bullet"/>
      <w:lvlText w:val="-"/>
      <w:lvlJc w:val="left"/>
      <w:pPr>
        <w:ind w:left="1778" w:hanging="360"/>
      </w:pPr>
      <w:rPr>
        <w:rFonts w:ascii="Corbel" w:eastAsia="Calibri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5DC0401"/>
    <w:multiLevelType w:val="hybridMultilevel"/>
    <w:tmpl w:val="A41A0A64"/>
    <w:lvl w:ilvl="0" w:tplc="E280D59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A05874"/>
    <w:multiLevelType w:val="hybridMultilevel"/>
    <w:tmpl w:val="30F23804"/>
    <w:lvl w:ilvl="0" w:tplc="735CF8CC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2311895"/>
    <w:multiLevelType w:val="hybridMultilevel"/>
    <w:tmpl w:val="9926DBB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2CE1850"/>
    <w:multiLevelType w:val="hybridMultilevel"/>
    <w:tmpl w:val="DEF29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8483CC3"/>
    <w:multiLevelType w:val="hybridMultilevel"/>
    <w:tmpl w:val="357AFAC0"/>
    <w:lvl w:ilvl="0" w:tplc="6F1CE63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4D4D53"/>
    <w:multiLevelType w:val="multilevel"/>
    <w:tmpl w:val="6926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16"/>
  </w:num>
  <w:num w:numId="6">
    <w:abstractNumId w:val="22"/>
  </w:num>
  <w:num w:numId="7">
    <w:abstractNumId w:val="15"/>
  </w:num>
  <w:num w:numId="8">
    <w:abstractNumId w:val="23"/>
  </w:num>
  <w:num w:numId="9">
    <w:abstractNumId w:val="17"/>
  </w:num>
  <w:num w:numId="10">
    <w:abstractNumId w:val="20"/>
  </w:num>
  <w:num w:numId="11">
    <w:abstractNumId w:val="6"/>
  </w:num>
  <w:num w:numId="12">
    <w:abstractNumId w:val="5"/>
  </w:num>
  <w:num w:numId="13">
    <w:abstractNumId w:val="4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4"/>
  </w:num>
  <w:num w:numId="24">
    <w:abstractNumId w:val="18"/>
  </w:num>
  <w:num w:numId="25">
    <w:abstractNumId w:val="25"/>
  </w:num>
  <w:num w:numId="26">
    <w:abstractNumId w:val="19"/>
  </w:num>
  <w:num w:numId="2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EC"/>
    <w:rsid w:val="000017B6"/>
    <w:rsid w:val="000020E8"/>
    <w:rsid w:val="000079FD"/>
    <w:rsid w:val="000117F6"/>
    <w:rsid w:val="00016163"/>
    <w:rsid w:val="00022127"/>
    <w:rsid w:val="00022352"/>
    <w:rsid w:val="00025219"/>
    <w:rsid w:val="000279DC"/>
    <w:rsid w:val="000328C6"/>
    <w:rsid w:val="00032ACB"/>
    <w:rsid w:val="0003392F"/>
    <w:rsid w:val="00034B1C"/>
    <w:rsid w:val="000410A2"/>
    <w:rsid w:val="00044C8A"/>
    <w:rsid w:val="00050ADC"/>
    <w:rsid w:val="00051FDC"/>
    <w:rsid w:val="000579EE"/>
    <w:rsid w:val="00061F8E"/>
    <w:rsid w:val="0006283D"/>
    <w:rsid w:val="00063ABE"/>
    <w:rsid w:val="0006500E"/>
    <w:rsid w:val="00065F4C"/>
    <w:rsid w:val="00067307"/>
    <w:rsid w:val="0007117E"/>
    <w:rsid w:val="00071B4A"/>
    <w:rsid w:val="00072251"/>
    <w:rsid w:val="000727ED"/>
    <w:rsid w:val="00076909"/>
    <w:rsid w:val="000814AB"/>
    <w:rsid w:val="0009329F"/>
    <w:rsid w:val="00093CBB"/>
    <w:rsid w:val="000A4BDB"/>
    <w:rsid w:val="000A6461"/>
    <w:rsid w:val="000B2E6B"/>
    <w:rsid w:val="000B427E"/>
    <w:rsid w:val="000B46BD"/>
    <w:rsid w:val="000B6B77"/>
    <w:rsid w:val="000B7EDE"/>
    <w:rsid w:val="000C3254"/>
    <w:rsid w:val="000C5575"/>
    <w:rsid w:val="000C5DB8"/>
    <w:rsid w:val="000D1652"/>
    <w:rsid w:val="000D40A7"/>
    <w:rsid w:val="000D4BED"/>
    <w:rsid w:val="000D4EC1"/>
    <w:rsid w:val="000D5DA8"/>
    <w:rsid w:val="000D70CC"/>
    <w:rsid w:val="000E266F"/>
    <w:rsid w:val="000E3BB6"/>
    <w:rsid w:val="000E5EFE"/>
    <w:rsid w:val="000E6706"/>
    <w:rsid w:val="000F41FD"/>
    <w:rsid w:val="000F6291"/>
    <w:rsid w:val="000F6A6B"/>
    <w:rsid w:val="000F731F"/>
    <w:rsid w:val="00102542"/>
    <w:rsid w:val="00102936"/>
    <w:rsid w:val="001108EA"/>
    <w:rsid w:val="00112295"/>
    <w:rsid w:val="00115E22"/>
    <w:rsid w:val="00120BE7"/>
    <w:rsid w:val="00121B9A"/>
    <w:rsid w:val="00123A70"/>
    <w:rsid w:val="00125DAF"/>
    <w:rsid w:val="00127ECB"/>
    <w:rsid w:val="00131FE2"/>
    <w:rsid w:val="001327AE"/>
    <w:rsid w:val="0013596D"/>
    <w:rsid w:val="00135F62"/>
    <w:rsid w:val="0013663A"/>
    <w:rsid w:val="00140B5F"/>
    <w:rsid w:val="00141142"/>
    <w:rsid w:val="0014177D"/>
    <w:rsid w:val="00141BD8"/>
    <w:rsid w:val="00151D70"/>
    <w:rsid w:val="00152144"/>
    <w:rsid w:val="00152B0E"/>
    <w:rsid w:val="00156C98"/>
    <w:rsid w:val="0016349D"/>
    <w:rsid w:val="00163BD9"/>
    <w:rsid w:val="0017167B"/>
    <w:rsid w:val="00173F6E"/>
    <w:rsid w:val="0017429E"/>
    <w:rsid w:val="00175FF0"/>
    <w:rsid w:val="0017625F"/>
    <w:rsid w:val="0017757B"/>
    <w:rsid w:val="0018325F"/>
    <w:rsid w:val="001834A1"/>
    <w:rsid w:val="0018386E"/>
    <w:rsid w:val="001863AA"/>
    <w:rsid w:val="00190F1C"/>
    <w:rsid w:val="001914EC"/>
    <w:rsid w:val="00192888"/>
    <w:rsid w:val="00193A29"/>
    <w:rsid w:val="00193C2D"/>
    <w:rsid w:val="001960C4"/>
    <w:rsid w:val="001A50FC"/>
    <w:rsid w:val="001A5832"/>
    <w:rsid w:val="001A7808"/>
    <w:rsid w:val="001A78A8"/>
    <w:rsid w:val="001B61B0"/>
    <w:rsid w:val="001B6593"/>
    <w:rsid w:val="001D20A2"/>
    <w:rsid w:val="001D20BF"/>
    <w:rsid w:val="001D4D5F"/>
    <w:rsid w:val="001D57CC"/>
    <w:rsid w:val="001D5F5A"/>
    <w:rsid w:val="001E3CF5"/>
    <w:rsid w:val="001E4A1A"/>
    <w:rsid w:val="001F1EDB"/>
    <w:rsid w:val="001F24CC"/>
    <w:rsid w:val="001F2EDC"/>
    <w:rsid w:val="001F4FCE"/>
    <w:rsid w:val="00203D19"/>
    <w:rsid w:val="0020596A"/>
    <w:rsid w:val="0021019C"/>
    <w:rsid w:val="00211411"/>
    <w:rsid w:val="00211EF6"/>
    <w:rsid w:val="00212E75"/>
    <w:rsid w:val="00215260"/>
    <w:rsid w:val="002207B4"/>
    <w:rsid w:val="00233449"/>
    <w:rsid w:val="002337AD"/>
    <w:rsid w:val="002356B2"/>
    <w:rsid w:val="00244397"/>
    <w:rsid w:val="002443EA"/>
    <w:rsid w:val="00250B80"/>
    <w:rsid w:val="002524E7"/>
    <w:rsid w:val="0025368B"/>
    <w:rsid w:val="00260C62"/>
    <w:rsid w:val="002621B5"/>
    <w:rsid w:val="0026502C"/>
    <w:rsid w:val="002664B2"/>
    <w:rsid w:val="002674A5"/>
    <w:rsid w:val="00267561"/>
    <w:rsid w:val="002679AA"/>
    <w:rsid w:val="00273DBD"/>
    <w:rsid w:val="00273EF2"/>
    <w:rsid w:val="002753CE"/>
    <w:rsid w:val="00277204"/>
    <w:rsid w:val="00277A8D"/>
    <w:rsid w:val="00281405"/>
    <w:rsid w:val="002828D9"/>
    <w:rsid w:val="00286E44"/>
    <w:rsid w:val="002919A0"/>
    <w:rsid w:val="002A1D34"/>
    <w:rsid w:val="002A1F24"/>
    <w:rsid w:val="002A201F"/>
    <w:rsid w:val="002A3195"/>
    <w:rsid w:val="002B18E6"/>
    <w:rsid w:val="002B52D3"/>
    <w:rsid w:val="002B53E0"/>
    <w:rsid w:val="002B55C9"/>
    <w:rsid w:val="002C1163"/>
    <w:rsid w:val="002C3EA6"/>
    <w:rsid w:val="002C436D"/>
    <w:rsid w:val="002C505A"/>
    <w:rsid w:val="002C55E1"/>
    <w:rsid w:val="002D02A8"/>
    <w:rsid w:val="002D301C"/>
    <w:rsid w:val="002D3DEC"/>
    <w:rsid w:val="002D4EE3"/>
    <w:rsid w:val="002D5005"/>
    <w:rsid w:val="002D6ED1"/>
    <w:rsid w:val="002E1414"/>
    <w:rsid w:val="002E1C8D"/>
    <w:rsid w:val="002E2727"/>
    <w:rsid w:val="002E543C"/>
    <w:rsid w:val="002E7A1A"/>
    <w:rsid w:val="002F0797"/>
    <w:rsid w:val="002F3E46"/>
    <w:rsid w:val="002F4078"/>
    <w:rsid w:val="002F67A1"/>
    <w:rsid w:val="002F7CA6"/>
    <w:rsid w:val="003010DE"/>
    <w:rsid w:val="0030168A"/>
    <w:rsid w:val="00305AC7"/>
    <w:rsid w:val="00314A1D"/>
    <w:rsid w:val="00320CA3"/>
    <w:rsid w:val="00322924"/>
    <w:rsid w:val="0032333F"/>
    <w:rsid w:val="00327E9A"/>
    <w:rsid w:val="00330D87"/>
    <w:rsid w:val="00343B97"/>
    <w:rsid w:val="00343E80"/>
    <w:rsid w:val="003446DD"/>
    <w:rsid w:val="00345139"/>
    <w:rsid w:val="00347521"/>
    <w:rsid w:val="003505B8"/>
    <w:rsid w:val="00352ABC"/>
    <w:rsid w:val="0035357D"/>
    <w:rsid w:val="00355DED"/>
    <w:rsid w:val="0035662E"/>
    <w:rsid w:val="00360A56"/>
    <w:rsid w:val="00362F38"/>
    <w:rsid w:val="00363204"/>
    <w:rsid w:val="00366144"/>
    <w:rsid w:val="00366271"/>
    <w:rsid w:val="0037043E"/>
    <w:rsid w:val="0037155C"/>
    <w:rsid w:val="003757AE"/>
    <w:rsid w:val="00382285"/>
    <w:rsid w:val="00382725"/>
    <w:rsid w:val="00385092"/>
    <w:rsid w:val="0038541A"/>
    <w:rsid w:val="00385F58"/>
    <w:rsid w:val="00390271"/>
    <w:rsid w:val="00392071"/>
    <w:rsid w:val="00395E57"/>
    <w:rsid w:val="00396C69"/>
    <w:rsid w:val="003A1055"/>
    <w:rsid w:val="003A2A4B"/>
    <w:rsid w:val="003A4581"/>
    <w:rsid w:val="003A582E"/>
    <w:rsid w:val="003A66C6"/>
    <w:rsid w:val="003B0B00"/>
    <w:rsid w:val="003B5248"/>
    <w:rsid w:val="003B7610"/>
    <w:rsid w:val="003B7EE9"/>
    <w:rsid w:val="003C13EA"/>
    <w:rsid w:val="003C24E1"/>
    <w:rsid w:val="003C425F"/>
    <w:rsid w:val="003C452C"/>
    <w:rsid w:val="003C45A4"/>
    <w:rsid w:val="003C73F2"/>
    <w:rsid w:val="003C7F9A"/>
    <w:rsid w:val="003D009A"/>
    <w:rsid w:val="003D2523"/>
    <w:rsid w:val="003D3707"/>
    <w:rsid w:val="003D3B84"/>
    <w:rsid w:val="003D52AC"/>
    <w:rsid w:val="003E1F02"/>
    <w:rsid w:val="003E2B5B"/>
    <w:rsid w:val="003E3594"/>
    <w:rsid w:val="003E3E9A"/>
    <w:rsid w:val="003F4A57"/>
    <w:rsid w:val="003F71A5"/>
    <w:rsid w:val="00400CEE"/>
    <w:rsid w:val="00404BFD"/>
    <w:rsid w:val="0040599D"/>
    <w:rsid w:val="0040619C"/>
    <w:rsid w:val="004100DE"/>
    <w:rsid w:val="0041214E"/>
    <w:rsid w:val="00412508"/>
    <w:rsid w:val="004129F0"/>
    <w:rsid w:val="00412A6E"/>
    <w:rsid w:val="0041509A"/>
    <w:rsid w:val="00416610"/>
    <w:rsid w:val="00420538"/>
    <w:rsid w:val="00424738"/>
    <w:rsid w:val="00424E58"/>
    <w:rsid w:val="00424FC9"/>
    <w:rsid w:val="00426A3E"/>
    <w:rsid w:val="00437A46"/>
    <w:rsid w:val="00440FE3"/>
    <w:rsid w:val="004415C0"/>
    <w:rsid w:val="00444DA5"/>
    <w:rsid w:val="00446BC6"/>
    <w:rsid w:val="00446C3C"/>
    <w:rsid w:val="00447A1B"/>
    <w:rsid w:val="004522F1"/>
    <w:rsid w:val="004526A7"/>
    <w:rsid w:val="00453A6B"/>
    <w:rsid w:val="00460C65"/>
    <w:rsid w:val="0046227A"/>
    <w:rsid w:val="004705B4"/>
    <w:rsid w:val="004706F1"/>
    <w:rsid w:val="00475D35"/>
    <w:rsid w:val="00481767"/>
    <w:rsid w:val="00482D81"/>
    <w:rsid w:val="004917E3"/>
    <w:rsid w:val="00493767"/>
    <w:rsid w:val="00494DAE"/>
    <w:rsid w:val="00497956"/>
    <w:rsid w:val="004A16FE"/>
    <w:rsid w:val="004A3BD9"/>
    <w:rsid w:val="004A5474"/>
    <w:rsid w:val="004A5AA5"/>
    <w:rsid w:val="004B0E4B"/>
    <w:rsid w:val="004B36AF"/>
    <w:rsid w:val="004C1278"/>
    <w:rsid w:val="004C13A6"/>
    <w:rsid w:val="004C1845"/>
    <w:rsid w:val="004C1D99"/>
    <w:rsid w:val="004C48B6"/>
    <w:rsid w:val="004D058A"/>
    <w:rsid w:val="004D6093"/>
    <w:rsid w:val="004E3E71"/>
    <w:rsid w:val="004F2763"/>
    <w:rsid w:val="004F2857"/>
    <w:rsid w:val="00502A48"/>
    <w:rsid w:val="00505DA2"/>
    <w:rsid w:val="00506CD8"/>
    <w:rsid w:val="00506DCE"/>
    <w:rsid w:val="00511A66"/>
    <w:rsid w:val="00516A5C"/>
    <w:rsid w:val="00516B10"/>
    <w:rsid w:val="00516D25"/>
    <w:rsid w:val="00517261"/>
    <w:rsid w:val="005225D9"/>
    <w:rsid w:val="0052329A"/>
    <w:rsid w:val="00525061"/>
    <w:rsid w:val="0052567D"/>
    <w:rsid w:val="0053162D"/>
    <w:rsid w:val="00533DE1"/>
    <w:rsid w:val="00534ABA"/>
    <w:rsid w:val="0053669C"/>
    <w:rsid w:val="00540CF2"/>
    <w:rsid w:val="005436FC"/>
    <w:rsid w:val="00553CDE"/>
    <w:rsid w:val="00554990"/>
    <w:rsid w:val="00556A0A"/>
    <w:rsid w:val="00556F25"/>
    <w:rsid w:val="00562CD0"/>
    <w:rsid w:val="005668F6"/>
    <w:rsid w:val="00566946"/>
    <w:rsid w:val="00572187"/>
    <w:rsid w:val="00573B35"/>
    <w:rsid w:val="005764F9"/>
    <w:rsid w:val="00577482"/>
    <w:rsid w:val="0058050E"/>
    <w:rsid w:val="00581DEF"/>
    <w:rsid w:val="00586636"/>
    <w:rsid w:val="00590659"/>
    <w:rsid w:val="005913B0"/>
    <w:rsid w:val="00594559"/>
    <w:rsid w:val="00594F11"/>
    <w:rsid w:val="005968E1"/>
    <w:rsid w:val="0059782F"/>
    <w:rsid w:val="005A069E"/>
    <w:rsid w:val="005A2E1F"/>
    <w:rsid w:val="005A3037"/>
    <w:rsid w:val="005A3B05"/>
    <w:rsid w:val="005A437D"/>
    <w:rsid w:val="005A585E"/>
    <w:rsid w:val="005B01B2"/>
    <w:rsid w:val="005B1A80"/>
    <w:rsid w:val="005B1FAE"/>
    <w:rsid w:val="005B200B"/>
    <w:rsid w:val="005B2DAA"/>
    <w:rsid w:val="005B4D43"/>
    <w:rsid w:val="005B6611"/>
    <w:rsid w:val="005C133C"/>
    <w:rsid w:val="005C197D"/>
    <w:rsid w:val="005C2EE7"/>
    <w:rsid w:val="005C4A7C"/>
    <w:rsid w:val="005D1C44"/>
    <w:rsid w:val="005D1D11"/>
    <w:rsid w:val="005D4558"/>
    <w:rsid w:val="005D59AF"/>
    <w:rsid w:val="005D6073"/>
    <w:rsid w:val="005E2758"/>
    <w:rsid w:val="005E36E0"/>
    <w:rsid w:val="005E4650"/>
    <w:rsid w:val="005E5616"/>
    <w:rsid w:val="005E5E16"/>
    <w:rsid w:val="005E60E4"/>
    <w:rsid w:val="005F032D"/>
    <w:rsid w:val="005F4136"/>
    <w:rsid w:val="005F53AF"/>
    <w:rsid w:val="005F59A3"/>
    <w:rsid w:val="005F6A87"/>
    <w:rsid w:val="00601644"/>
    <w:rsid w:val="00602CF8"/>
    <w:rsid w:val="006146C4"/>
    <w:rsid w:val="00614F1C"/>
    <w:rsid w:val="006156CB"/>
    <w:rsid w:val="00615E25"/>
    <w:rsid w:val="00626E95"/>
    <w:rsid w:val="006318A2"/>
    <w:rsid w:val="0063246C"/>
    <w:rsid w:val="00637AC9"/>
    <w:rsid w:val="00640692"/>
    <w:rsid w:val="006413AC"/>
    <w:rsid w:val="006461FB"/>
    <w:rsid w:val="0064740C"/>
    <w:rsid w:val="00650ADA"/>
    <w:rsid w:val="00653730"/>
    <w:rsid w:val="006602D7"/>
    <w:rsid w:val="00662013"/>
    <w:rsid w:val="006624BE"/>
    <w:rsid w:val="00666C52"/>
    <w:rsid w:val="006671F3"/>
    <w:rsid w:val="006722F3"/>
    <w:rsid w:val="00674068"/>
    <w:rsid w:val="006759F1"/>
    <w:rsid w:val="00675C46"/>
    <w:rsid w:val="00676045"/>
    <w:rsid w:val="00676BC7"/>
    <w:rsid w:val="0068228E"/>
    <w:rsid w:val="00682B94"/>
    <w:rsid w:val="00684846"/>
    <w:rsid w:val="00685BFC"/>
    <w:rsid w:val="00686E28"/>
    <w:rsid w:val="00686F4C"/>
    <w:rsid w:val="006876E9"/>
    <w:rsid w:val="00690BF3"/>
    <w:rsid w:val="006910C8"/>
    <w:rsid w:val="00695740"/>
    <w:rsid w:val="0069693D"/>
    <w:rsid w:val="006970ED"/>
    <w:rsid w:val="006972DD"/>
    <w:rsid w:val="006A1E7A"/>
    <w:rsid w:val="006A532B"/>
    <w:rsid w:val="006B21FA"/>
    <w:rsid w:val="006B22AA"/>
    <w:rsid w:val="006B3C27"/>
    <w:rsid w:val="006C4E70"/>
    <w:rsid w:val="006C5A11"/>
    <w:rsid w:val="006C5A6C"/>
    <w:rsid w:val="006C7417"/>
    <w:rsid w:val="006D1C66"/>
    <w:rsid w:val="006D240D"/>
    <w:rsid w:val="006D37EF"/>
    <w:rsid w:val="006E1801"/>
    <w:rsid w:val="006E1BF1"/>
    <w:rsid w:val="006E7028"/>
    <w:rsid w:val="006F1368"/>
    <w:rsid w:val="006F397A"/>
    <w:rsid w:val="006F3A51"/>
    <w:rsid w:val="006F761D"/>
    <w:rsid w:val="007068A9"/>
    <w:rsid w:val="00712DDB"/>
    <w:rsid w:val="0072068C"/>
    <w:rsid w:val="00722F8D"/>
    <w:rsid w:val="00724D39"/>
    <w:rsid w:val="00733C98"/>
    <w:rsid w:val="0074203C"/>
    <w:rsid w:val="0074399D"/>
    <w:rsid w:val="00746231"/>
    <w:rsid w:val="00750ADA"/>
    <w:rsid w:val="007543A4"/>
    <w:rsid w:val="00757496"/>
    <w:rsid w:val="00761288"/>
    <w:rsid w:val="00762661"/>
    <w:rsid w:val="00765AB1"/>
    <w:rsid w:val="00766C16"/>
    <w:rsid w:val="00774C59"/>
    <w:rsid w:val="0077602C"/>
    <w:rsid w:val="00777986"/>
    <w:rsid w:val="007838DD"/>
    <w:rsid w:val="0078573A"/>
    <w:rsid w:val="00786E0B"/>
    <w:rsid w:val="007915B7"/>
    <w:rsid w:val="00792243"/>
    <w:rsid w:val="0079269A"/>
    <w:rsid w:val="00793A13"/>
    <w:rsid w:val="007A0394"/>
    <w:rsid w:val="007A2F67"/>
    <w:rsid w:val="007A5285"/>
    <w:rsid w:val="007A65C4"/>
    <w:rsid w:val="007A79AA"/>
    <w:rsid w:val="007B0028"/>
    <w:rsid w:val="007B079D"/>
    <w:rsid w:val="007B1DBA"/>
    <w:rsid w:val="007C3E15"/>
    <w:rsid w:val="007C61D8"/>
    <w:rsid w:val="007D15D8"/>
    <w:rsid w:val="007D17EE"/>
    <w:rsid w:val="007D5B5F"/>
    <w:rsid w:val="007E41D0"/>
    <w:rsid w:val="007F1694"/>
    <w:rsid w:val="007F2003"/>
    <w:rsid w:val="007F73BD"/>
    <w:rsid w:val="00806DF5"/>
    <w:rsid w:val="00813FCA"/>
    <w:rsid w:val="0081694D"/>
    <w:rsid w:val="008271FD"/>
    <w:rsid w:val="0082756B"/>
    <w:rsid w:val="0082761A"/>
    <w:rsid w:val="00832246"/>
    <w:rsid w:val="008344C8"/>
    <w:rsid w:val="00835341"/>
    <w:rsid w:val="00842403"/>
    <w:rsid w:val="00844284"/>
    <w:rsid w:val="008464BD"/>
    <w:rsid w:val="00847E37"/>
    <w:rsid w:val="0085075A"/>
    <w:rsid w:val="008528CF"/>
    <w:rsid w:val="00853E6D"/>
    <w:rsid w:val="008573E2"/>
    <w:rsid w:val="0086023D"/>
    <w:rsid w:val="00860E60"/>
    <w:rsid w:val="0087440F"/>
    <w:rsid w:val="00874B7B"/>
    <w:rsid w:val="0087674F"/>
    <w:rsid w:val="00877F42"/>
    <w:rsid w:val="00882842"/>
    <w:rsid w:val="00883262"/>
    <w:rsid w:val="00883CD7"/>
    <w:rsid w:val="00890D0B"/>
    <w:rsid w:val="008968FA"/>
    <w:rsid w:val="00896FAB"/>
    <w:rsid w:val="008A2B7E"/>
    <w:rsid w:val="008A3F6D"/>
    <w:rsid w:val="008A69BA"/>
    <w:rsid w:val="008A7237"/>
    <w:rsid w:val="008B0642"/>
    <w:rsid w:val="008B30C0"/>
    <w:rsid w:val="008B35D4"/>
    <w:rsid w:val="008B541C"/>
    <w:rsid w:val="008C1361"/>
    <w:rsid w:val="008C43D5"/>
    <w:rsid w:val="008C4A3F"/>
    <w:rsid w:val="008C7E62"/>
    <w:rsid w:val="008D5677"/>
    <w:rsid w:val="008D5C5E"/>
    <w:rsid w:val="008E3C8C"/>
    <w:rsid w:val="008E7785"/>
    <w:rsid w:val="008F2BFC"/>
    <w:rsid w:val="008F51D4"/>
    <w:rsid w:val="008F6398"/>
    <w:rsid w:val="009048A8"/>
    <w:rsid w:val="009049D0"/>
    <w:rsid w:val="00904F2A"/>
    <w:rsid w:val="0091117B"/>
    <w:rsid w:val="00913B16"/>
    <w:rsid w:val="009160F1"/>
    <w:rsid w:val="00916EA0"/>
    <w:rsid w:val="0091736B"/>
    <w:rsid w:val="009211B2"/>
    <w:rsid w:val="00933187"/>
    <w:rsid w:val="009332EA"/>
    <w:rsid w:val="00933F34"/>
    <w:rsid w:val="00933FF6"/>
    <w:rsid w:val="0093448C"/>
    <w:rsid w:val="009345E0"/>
    <w:rsid w:val="0093586F"/>
    <w:rsid w:val="0093705A"/>
    <w:rsid w:val="009370E8"/>
    <w:rsid w:val="00937A98"/>
    <w:rsid w:val="00941C71"/>
    <w:rsid w:val="0094268A"/>
    <w:rsid w:val="00943F3C"/>
    <w:rsid w:val="00944312"/>
    <w:rsid w:val="00945106"/>
    <w:rsid w:val="00945EF4"/>
    <w:rsid w:val="009471F7"/>
    <w:rsid w:val="009516FA"/>
    <w:rsid w:val="00954F59"/>
    <w:rsid w:val="00955E7E"/>
    <w:rsid w:val="009708A8"/>
    <w:rsid w:val="0097101B"/>
    <w:rsid w:val="00972779"/>
    <w:rsid w:val="009728FD"/>
    <w:rsid w:val="00974180"/>
    <w:rsid w:val="009771A0"/>
    <w:rsid w:val="009777A8"/>
    <w:rsid w:val="0098056E"/>
    <w:rsid w:val="0098201B"/>
    <w:rsid w:val="009865EE"/>
    <w:rsid w:val="009A0BB9"/>
    <w:rsid w:val="009A0D3A"/>
    <w:rsid w:val="009A14DB"/>
    <w:rsid w:val="009A2946"/>
    <w:rsid w:val="009A54FC"/>
    <w:rsid w:val="009B0165"/>
    <w:rsid w:val="009B1240"/>
    <w:rsid w:val="009B1707"/>
    <w:rsid w:val="009B2795"/>
    <w:rsid w:val="009B5C80"/>
    <w:rsid w:val="009B6084"/>
    <w:rsid w:val="009B7412"/>
    <w:rsid w:val="009C0874"/>
    <w:rsid w:val="009C396C"/>
    <w:rsid w:val="009C67F1"/>
    <w:rsid w:val="009C7E4F"/>
    <w:rsid w:val="009D0F12"/>
    <w:rsid w:val="009D2614"/>
    <w:rsid w:val="009D4F78"/>
    <w:rsid w:val="009E08F8"/>
    <w:rsid w:val="009E1DFE"/>
    <w:rsid w:val="009E2AE2"/>
    <w:rsid w:val="009E4754"/>
    <w:rsid w:val="009E49B2"/>
    <w:rsid w:val="009E5313"/>
    <w:rsid w:val="009E6082"/>
    <w:rsid w:val="009E72F2"/>
    <w:rsid w:val="009F55D7"/>
    <w:rsid w:val="00A04CAC"/>
    <w:rsid w:val="00A12908"/>
    <w:rsid w:val="00A16AF2"/>
    <w:rsid w:val="00A17DB8"/>
    <w:rsid w:val="00A219BB"/>
    <w:rsid w:val="00A25DDA"/>
    <w:rsid w:val="00A2674C"/>
    <w:rsid w:val="00A27D56"/>
    <w:rsid w:val="00A336D8"/>
    <w:rsid w:val="00A33CFB"/>
    <w:rsid w:val="00A40C78"/>
    <w:rsid w:val="00A47C1C"/>
    <w:rsid w:val="00A50024"/>
    <w:rsid w:val="00A52162"/>
    <w:rsid w:val="00A5224A"/>
    <w:rsid w:val="00A5606B"/>
    <w:rsid w:val="00A62E33"/>
    <w:rsid w:val="00A70D73"/>
    <w:rsid w:val="00A77489"/>
    <w:rsid w:val="00A85A43"/>
    <w:rsid w:val="00A911FB"/>
    <w:rsid w:val="00A92AB5"/>
    <w:rsid w:val="00A93CC3"/>
    <w:rsid w:val="00A93D13"/>
    <w:rsid w:val="00A94B10"/>
    <w:rsid w:val="00A96329"/>
    <w:rsid w:val="00AA1544"/>
    <w:rsid w:val="00AA1D56"/>
    <w:rsid w:val="00AA5824"/>
    <w:rsid w:val="00AA7829"/>
    <w:rsid w:val="00AA79E7"/>
    <w:rsid w:val="00AB23FA"/>
    <w:rsid w:val="00AB3027"/>
    <w:rsid w:val="00AB3041"/>
    <w:rsid w:val="00AC3466"/>
    <w:rsid w:val="00AC4D5D"/>
    <w:rsid w:val="00AC7481"/>
    <w:rsid w:val="00AD26B8"/>
    <w:rsid w:val="00AD30E4"/>
    <w:rsid w:val="00AD3F53"/>
    <w:rsid w:val="00AD6EB4"/>
    <w:rsid w:val="00AE05AE"/>
    <w:rsid w:val="00AE097F"/>
    <w:rsid w:val="00AE36D2"/>
    <w:rsid w:val="00AE3BEC"/>
    <w:rsid w:val="00AE4852"/>
    <w:rsid w:val="00AF0B13"/>
    <w:rsid w:val="00AF1490"/>
    <w:rsid w:val="00AF2031"/>
    <w:rsid w:val="00AF3C68"/>
    <w:rsid w:val="00B029A8"/>
    <w:rsid w:val="00B07A2D"/>
    <w:rsid w:val="00B10BEA"/>
    <w:rsid w:val="00B11942"/>
    <w:rsid w:val="00B21A66"/>
    <w:rsid w:val="00B228CC"/>
    <w:rsid w:val="00B23161"/>
    <w:rsid w:val="00B2377E"/>
    <w:rsid w:val="00B304C8"/>
    <w:rsid w:val="00B31052"/>
    <w:rsid w:val="00B32819"/>
    <w:rsid w:val="00B34510"/>
    <w:rsid w:val="00B408B7"/>
    <w:rsid w:val="00B41387"/>
    <w:rsid w:val="00B42F18"/>
    <w:rsid w:val="00B4366C"/>
    <w:rsid w:val="00B4735A"/>
    <w:rsid w:val="00B50DE3"/>
    <w:rsid w:val="00B512CF"/>
    <w:rsid w:val="00B54259"/>
    <w:rsid w:val="00B5504B"/>
    <w:rsid w:val="00B55CF8"/>
    <w:rsid w:val="00B57AB9"/>
    <w:rsid w:val="00B63D0E"/>
    <w:rsid w:val="00B70655"/>
    <w:rsid w:val="00B71309"/>
    <w:rsid w:val="00B71537"/>
    <w:rsid w:val="00B72004"/>
    <w:rsid w:val="00B7517A"/>
    <w:rsid w:val="00B84352"/>
    <w:rsid w:val="00B86324"/>
    <w:rsid w:val="00B87E18"/>
    <w:rsid w:val="00B90C05"/>
    <w:rsid w:val="00B924F5"/>
    <w:rsid w:val="00B92E57"/>
    <w:rsid w:val="00B92F44"/>
    <w:rsid w:val="00B96CFC"/>
    <w:rsid w:val="00BA1948"/>
    <w:rsid w:val="00BA492F"/>
    <w:rsid w:val="00BA5E92"/>
    <w:rsid w:val="00BB0A33"/>
    <w:rsid w:val="00BB147D"/>
    <w:rsid w:val="00BB2FD3"/>
    <w:rsid w:val="00BB3A73"/>
    <w:rsid w:val="00BB65B0"/>
    <w:rsid w:val="00BB6A4B"/>
    <w:rsid w:val="00BC10F7"/>
    <w:rsid w:val="00BC111E"/>
    <w:rsid w:val="00BC2AEB"/>
    <w:rsid w:val="00BC2D25"/>
    <w:rsid w:val="00BC3FFF"/>
    <w:rsid w:val="00BC7B6F"/>
    <w:rsid w:val="00BD0B32"/>
    <w:rsid w:val="00BD1FEF"/>
    <w:rsid w:val="00BD30B5"/>
    <w:rsid w:val="00BD33B0"/>
    <w:rsid w:val="00BD632C"/>
    <w:rsid w:val="00BD65FF"/>
    <w:rsid w:val="00BE3428"/>
    <w:rsid w:val="00BE3432"/>
    <w:rsid w:val="00BE509E"/>
    <w:rsid w:val="00BF01F9"/>
    <w:rsid w:val="00BF0326"/>
    <w:rsid w:val="00BF527B"/>
    <w:rsid w:val="00C007D2"/>
    <w:rsid w:val="00C058B2"/>
    <w:rsid w:val="00C071D7"/>
    <w:rsid w:val="00C10F01"/>
    <w:rsid w:val="00C11F78"/>
    <w:rsid w:val="00C148D7"/>
    <w:rsid w:val="00C14AC0"/>
    <w:rsid w:val="00C25A75"/>
    <w:rsid w:val="00C3113A"/>
    <w:rsid w:val="00C32AB9"/>
    <w:rsid w:val="00C353D4"/>
    <w:rsid w:val="00C35EAE"/>
    <w:rsid w:val="00C36F6E"/>
    <w:rsid w:val="00C37CAC"/>
    <w:rsid w:val="00C40EC5"/>
    <w:rsid w:val="00C47590"/>
    <w:rsid w:val="00C47BBC"/>
    <w:rsid w:val="00C51116"/>
    <w:rsid w:val="00C514A9"/>
    <w:rsid w:val="00C5630B"/>
    <w:rsid w:val="00C570FD"/>
    <w:rsid w:val="00C61334"/>
    <w:rsid w:val="00C65EAE"/>
    <w:rsid w:val="00C65FFD"/>
    <w:rsid w:val="00C66462"/>
    <w:rsid w:val="00C665CA"/>
    <w:rsid w:val="00C6723A"/>
    <w:rsid w:val="00C70ECD"/>
    <w:rsid w:val="00C71C1B"/>
    <w:rsid w:val="00C74C78"/>
    <w:rsid w:val="00C75196"/>
    <w:rsid w:val="00C84EB3"/>
    <w:rsid w:val="00C90D65"/>
    <w:rsid w:val="00C91E2B"/>
    <w:rsid w:val="00C92C86"/>
    <w:rsid w:val="00CA4124"/>
    <w:rsid w:val="00CA4853"/>
    <w:rsid w:val="00CA48E9"/>
    <w:rsid w:val="00CA7261"/>
    <w:rsid w:val="00CA7C2D"/>
    <w:rsid w:val="00CB6723"/>
    <w:rsid w:val="00CB6B7F"/>
    <w:rsid w:val="00CB7371"/>
    <w:rsid w:val="00CC0780"/>
    <w:rsid w:val="00CD0A22"/>
    <w:rsid w:val="00CD1B19"/>
    <w:rsid w:val="00CD6891"/>
    <w:rsid w:val="00CD68F5"/>
    <w:rsid w:val="00CE01E6"/>
    <w:rsid w:val="00CE3779"/>
    <w:rsid w:val="00CE46DF"/>
    <w:rsid w:val="00CE5801"/>
    <w:rsid w:val="00CE6C95"/>
    <w:rsid w:val="00CE7E84"/>
    <w:rsid w:val="00CF0916"/>
    <w:rsid w:val="00CF11E4"/>
    <w:rsid w:val="00CF1771"/>
    <w:rsid w:val="00CF611D"/>
    <w:rsid w:val="00D01037"/>
    <w:rsid w:val="00D055D7"/>
    <w:rsid w:val="00D13946"/>
    <w:rsid w:val="00D14DDD"/>
    <w:rsid w:val="00D17CE4"/>
    <w:rsid w:val="00D239A7"/>
    <w:rsid w:val="00D30D89"/>
    <w:rsid w:val="00D321C9"/>
    <w:rsid w:val="00D33DD1"/>
    <w:rsid w:val="00D4088F"/>
    <w:rsid w:val="00D42FC8"/>
    <w:rsid w:val="00D47805"/>
    <w:rsid w:val="00D5389C"/>
    <w:rsid w:val="00D61045"/>
    <w:rsid w:val="00D6194F"/>
    <w:rsid w:val="00D63140"/>
    <w:rsid w:val="00D75ACE"/>
    <w:rsid w:val="00D84FE3"/>
    <w:rsid w:val="00D865D8"/>
    <w:rsid w:val="00D869F8"/>
    <w:rsid w:val="00D87EC5"/>
    <w:rsid w:val="00D907F1"/>
    <w:rsid w:val="00D93B19"/>
    <w:rsid w:val="00D94BAA"/>
    <w:rsid w:val="00D95A39"/>
    <w:rsid w:val="00D95E6F"/>
    <w:rsid w:val="00D9681F"/>
    <w:rsid w:val="00D96945"/>
    <w:rsid w:val="00D96DA5"/>
    <w:rsid w:val="00DA0257"/>
    <w:rsid w:val="00DA0311"/>
    <w:rsid w:val="00DA1FE3"/>
    <w:rsid w:val="00DA2D39"/>
    <w:rsid w:val="00DA3306"/>
    <w:rsid w:val="00DA478F"/>
    <w:rsid w:val="00DA5B93"/>
    <w:rsid w:val="00DB4EDA"/>
    <w:rsid w:val="00DB7D4C"/>
    <w:rsid w:val="00DC188B"/>
    <w:rsid w:val="00DC3440"/>
    <w:rsid w:val="00DC4135"/>
    <w:rsid w:val="00DC4831"/>
    <w:rsid w:val="00DC4848"/>
    <w:rsid w:val="00DC53CF"/>
    <w:rsid w:val="00DC7436"/>
    <w:rsid w:val="00DD2998"/>
    <w:rsid w:val="00DE00FD"/>
    <w:rsid w:val="00DE5CD6"/>
    <w:rsid w:val="00DE5E03"/>
    <w:rsid w:val="00DF2B43"/>
    <w:rsid w:val="00DF7A37"/>
    <w:rsid w:val="00E0055C"/>
    <w:rsid w:val="00E01811"/>
    <w:rsid w:val="00E043D1"/>
    <w:rsid w:val="00E06651"/>
    <w:rsid w:val="00E06C1E"/>
    <w:rsid w:val="00E1040B"/>
    <w:rsid w:val="00E12CE5"/>
    <w:rsid w:val="00E16DF1"/>
    <w:rsid w:val="00E16E0A"/>
    <w:rsid w:val="00E16F06"/>
    <w:rsid w:val="00E22016"/>
    <w:rsid w:val="00E26BFA"/>
    <w:rsid w:val="00E27108"/>
    <w:rsid w:val="00E3046E"/>
    <w:rsid w:val="00E30CC7"/>
    <w:rsid w:val="00E32469"/>
    <w:rsid w:val="00E32A54"/>
    <w:rsid w:val="00E3317B"/>
    <w:rsid w:val="00E3608E"/>
    <w:rsid w:val="00E371F4"/>
    <w:rsid w:val="00E44333"/>
    <w:rsid w:val="00E4490B"/>
    <w:rsid w:val="00E4549A"/>
    <w:rsid w:val="00E51999"/>
    <w:rsid w:val="00E52233"/>
    <w:rsid w:val="00E607AA"/>
    <w:rsid w:val="00E621C1"/>
    <w:rsid w:val="00E63FEC"/>
    <w:rsid w:val="00E64DDB"/>
    <w:rsid w:val="00E65797"/>
    <w:rsid w:val="00E66533"/>
    <w:rsid w:val="00E6794C"/>
    <w:rsid w:val="00E777B4"/>
    <w:rsid w:val="00E779D3"/>
    <w:rsid w:val="00E8351E"/>
    <w:rsid w:val="00E85342"/>
    <w:rsid w:val="00E900D4"/>
    <w:rsid w:val="00E90B86"/>
    <w:rsid w:val="00E912AF"/>
    <w:rsid w:val="00E95A43"/>
    <w:rsid w:val="00E96DBA"/>
    <w:rsid w:val="00E97E97"/>
    <w:rsid w:val="00EA1A49"/>
    <w:rsid w:val="00EA2305"/>
    <w:rsid w:val="00EB0CB6"/>
    <w:rsid w:val="00EB3368"/>
    <w:rsid w:val="00EB51B3"/>
    <w:rsid w:val="00EC119A"/>
    <w:rsid w:val="00EC4384"/>
    <w:rsid w:val="00EC6A5D"/>
    <w:rsid w:val="00EC771E"/>
    <w:rsid w:val="00ED00F4"/>
    <w:rsid w:val="00ED070B"/>
    <w:rsid w:val="00ED0C83"/>
    <w:rsid w:val="00ED2F5D"/>
    <w:rsid w:val="00ED7C21"/>
    <w:rsid w:val="00EE384F"/>
    <w:rsid w:val="00EF4576"/>
    <w:rsid w:val="00EF5793"/>
    <w:rsid w:val="00EF6CB2"/>
    <w:rsid w:val="00F01D52"/>
    <w:rsid w:val="00F02731"/>
    <w:rsid w:val="00F06C3F"/>
    <w:rsid w:val="00F06D27"/>
    <w:rsid w:val="00F0748A"/>
    <w:rsid w:val="00F11296"/>
    <w:rsid w:val="00F11E23"/>
    <w:rsid w:val="00F1261F"/>
    <w:rsid w:val="00F1444C"/>
    <w:rsid w:val="00F2166B"/>
    <w:rsid w:val="00F232D1"/>
    <w:rsid w:val="00F26DF6"/>
    <w:rsid w:val="00F313CC"/>
    <w:rsid w:val="00F31798"/>
    <w:rsid w:val="00F32267"/>
    <w:rsid w:val="00F349AD"/>
    <w:rsid w:val="00F35770"/>
    <w:rsid w:val="00F400AF"/>
    <w:rsid w:val="00F43259"/>
    <w:rsid w:val="00F45FA7"/>
    <w:rsid w:val="00F46A9B"/>
    <w:rsid w:val="00F46D23"/>
    <w:rsid w:val="00F47FE1"/>
    <w:rsid w:val="00F500A5"/>
    <w:rsid w:val="00F50482"/>
    <w:rsid w:val="00F50658"/>
    <w:rsid w:val="00F5101F"/>
    <w:rsid w:val="00F52124"/>
    <w:rsid w:val="00F54350"/>
    <w:rsid w:val="00F5546D"/>
    <w:rsid w:val="00F61836"/>
    <w:rsid w:val="00F65C5F"/>
    <w:rsid w:val="00F73EEF"/>
    <w:rsid w:val="00F741B3"/>
    <w:rsid w:val="00F805C8"/>
    <w:rsid w:val="00F812E3"/>
    <w:rsid w:val="00F819C8"/>
    <w:rsid w:val="00F8498C"/>
    <w:rsid w:val="00F9061D"/>
    <w:rsid w:val="00F91744"/>
    <w:rsid w:val="00F934D7"/>
    <w:rsid w:val="00F9361B"/>
    <w:rsid w:val="00F95766"/>
    <w:rsid w:val="00F977C9"/>
    <w:rsid w:val="00FA13F2"/>
    <w:rsid w:val="00FA19E7"/>
    <w:rsid w:val="00FA1C6F"/>
    <w:rsid w:val="00FB0F64"/>
    <w:rsid w:val="00FB5839"/>
    <w:rsid w:val="00FC6164"/>
    <w:rsid w:val="00FC61E3"/>
    <w:rsid w:val="00FC7725"/>
    <w:rsid w:val="00FD22AB"/>
    <w:rsid w:val="00FD3244"/>
    <w:rsid w:val="00FD7321"/>
    <w:rsid w:val="00FD7B98"/>
    <w:rsid w:val="00FD7CDD"/>
    <w:rsid w:val="00FE500E"/>
    <w:rsid w:val="00FE76FA"/>
    <w:rsid w:val="00FE7F8A"/>
    <w:rsid w:val="00FF0511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FE1E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DEC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672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0D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0D89"/>
  </w:style>
  <w:style w:type="paragraph" w:styleId="Podnoje">
    <w:name w:val="footer"/>
    <w:basedOn w:val="Normal"/>
    <w:link w:val="PodnojeChar"/>
    <w:unhideWhenUsed/>
    <w:rsid w:val="00D30D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30D89"/>
  </w:style>
  <w:style w:type="paragraph" w:styleId="Tekstbalonia">
    <w:name w:val="Balloon Text"/>
    <w:basedOn w:val="Normal"/>
    <w:link w:val="TekstbaloniaChar"/>
    <w:uiPriority w:val="99"/>
    <w:semiHidden/>
    <w:unhideWhenUsed/>
    <w:rsid w:val="00D30D8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D30D89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C672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uiPriority w:val="1"/>
    <w:qFormat/>
    <w:rsid w:val="006D1C66"/>
    <w:rPr>
      <w:sz w:val="22"/>
      <w:szCs w:val="22"/>
      <w:lang w:eastAsia="en-US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CF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rsid w:val="00CF611D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53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5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03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DA0311"/>
    <w:rPr>
      <w:color w:val="0563C1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9B6084"/>
    <w:pPr>
      <w:spacing w:after="200"/>
    </w:pPr>
    <w:rPr>
      <w:i/>
      <w:iCs/>
      <w:color w:val="44546A" w:themeColor="text2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F2B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01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2.wdp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jiga\OneDrive%20-%20Sveu&#269;ili&#353;te%20u%20Zagrebu,%20Geotehni&#269;ki%20fakultet\Radna%20povr&#353;ina\GFV55%20predlo&#382;ak%202024%20(HR)%20ePot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BB9124-BC42-4950-BC5C-2160DC98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GFV55 predložak 2024 (HR) ePotpis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mailto:mzidar@gfv.hr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2024-11-05T09:49:00Z</dcterms:created>
  <dcterms:modified xsi:type="dcterms:W3CDTF">2024-12-12T06:54:00Z</dcterms:modified>
</cp:coreProperties>
</file>