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A5" w:rsidRPr="004D150A" w:rsidRDefault="00EB0EA5" w:rsidP="00A63A7C">
      <w:pPr>
        <w:tabs>
          <w:tab w:val="left" w:pos="1665"/>
        </w:tabs>
        <w:jc w:val="center"/>
        <w:rPr>
          <w:b/>
          <w:sz w:val="26"/>
          <w:szCs w:val="26"/>
        </w:rPr>
      </w:pPr>
      <w:r w:rsidRPr="004D150A">
        <w:rPr>
          <w:b/>
          <w:sz w:val="26"/>
          <w:szCs w:val="26"/>
        </w:rPr>
        <w:t>2102 SVEUČILIŠTE U ZAGREBU – GEOTEHNIČKI FAKULTET</w:t>
      </w:r>
    </w:p>
    <w:p w:rsidR="00EB0EA5" w:rsidRPr="004D150A" w:rsidRDefault="00EB0EA5" w:rsidP="00EB0EA5">
      <w:pPr>
        <w:tabs>
          <w:tab w:val="left" w:pos="1665"/>
        </w:tabs>
        <w:jc w:val="center"/>
        <w:rPr>
          <w:b/>
          <w:sz w:val="26"/>
          <w:szCs w:val="26"/>
        </w:rPr>
      </w:pPr>
    </w:p>
    <w:p w:rsidR="00EB0EA5" w:rsidRPr="004D150A" w:rsidRDefault="00EB0EA5" w:rsidP="00EB0EA5">
      <w:pPr>
        <w:jc w:val="center"/>
        <w:rPr>
          <w:b/>
          <w:sz w:val="26"/>
          <w:szCs w:val="26"/>
        </w:rPr>
      </w:pPr>
      <w:r w:rsidRPr="004D150A">
        <w:rPr>
          <w:b/>
          <w:sz w:val="26"/>
          <w:szCs w:val="26"/>
        </w:rPr>
        <w:t xml:space="preserve">OBRAZLOŽENJE </w:t>
      </w:r>
      <w:r w:rsidR="00C04B77">
        <w:rPr>
          <w:b/>
          <w:sz w:val="26"/>
          <w:szCs w:val="26"/>
        </w:rPr>
        <w:t>POSEBNOG</w:t>
      </w:r>
      <w:r w:rsidRPr="004D150A">
        <w:rPr>
          <w:b/>
          <w:sz w:val="26"/>
          <w:szCs w:val="26"/>
        </w:rPr>
        <w:t xml:space="preserve"> DIJELA FINANCIJSKOG PLANA 2025.-2027. </w:t>
      </w:r>
    </w:p>
    <w:p w:rsidR="00EB0EA5" w:rsidRPr="004F052B" w:rsidRDefault="00EB0EA5" w:rsidP="00EB0EA5">
      <w:pPr>
        <w:jc w:val="center"/>
        <w:rPr>
          <w:b/>
          <w:sz w:val="28"/>
          <w:szCs w:val="28"/>
        </w:rPr>
      </w:pPr>
    </w:p>
    <w:p w:rsidR="00EB0EA5" w:rsidRPr="004D150A" w:rsidRDefault="00EB0EA5" w:rsidP="00EB0EA5">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6"/>
          <w:szCs w:val="26"/>
        </w:rPr>
      </w:pPr>
      <w:r w:rsidRPr="004D150A">
        <w:rPr>
          <w:b/>
          <w:sz w:val="26"/>
          <w:szCs w:val="26"/>
        </w:rPr>
        <w:t>Sažetak djelokruga rada proračunskog korisnika</w:t>
      </w:r>
    </w:p>
    <w:p w:rsidR="00EB0EA5" w:rsidRPr="004F052B" w:rsidRDefault="00EB0EA5" w:rsidP="00EB0EA5">
      <w:pPr>
        <w:contextualSpacing/>
        <w:jc w:val="both"/>
      </w:pPr>
      <w:r w:rsidRPr="004F052B">
        <w:t xml:space="preserve">Sveučilište u Zagrebu, Geotehnički fakultet, Varaždin, </w:t>
      </w:r>
      <w:proofErr w:type="spellStart"/>
      <w:r w:rsidRPr="004F052B">
        <w:t>Hallerova</w:t>
      </w:r>
      <w:proofErr w:type="spellEnd"/>
      <w:r w:rsidRPr="004F052B">
        <w:t xml:space="preserve"> aleja 7, OIB: 16146181375.</w:t>
      </w:r>
    </w:p>
    <w:p w:rsidR="00EB0EA5" w:rsidRPr="004F052B" w:rsidRDefault="00EB0EA5" w:rsidP="00EB0EA5">
      <w:pPr>
        <w:contextualSpacing/>
        <w:jc w:val="both"/>
      </w:pPr>
      <w:r w:rsidRPr="004F052B">
        <w:t>Fakultet izvodi nastavu na prijediplomskom, diplomskom i doktorskom studiju. Trenutno je aktivan jedan EU projekt koji završava 2026. godine pa, osim njega, u ovom trogodišnjem razdoblju nemamo planiranih sredstava po toj osnovi.</w:t>
      </w:r>
    </w:p>
    <w:p w:rsidR="00EB0EA5" w:rsidRPr="004F052B" w:rsidRDefault="00EB0EA5" w:rsidP="00EB0EA5">
      <w:pPr>
        <w:contextualSpacing/>
        <w:jc w:val="both"/>
      </w:pPr>
      <w:r w:rsidRPr="004F052B">
        <w:t>Fakultet ima i stručnu suradnju s gospodarstvom, te se izvode znanstvena i stručna istraživanja iz geotehnike, hidrotehnike i inženjerstva okoliša.</w:t>
      </w:r>
    </w:p>
    <w:p w:rsidR="00EB0EA5" w:rsidRPr="004F052B" w:rsidRDefault="00EB0EA5" w:rsidP="00EB0EA5">
      <w:pPr>
        <w:contextualSpacing/>
        <w:jc w:val="both"/>
      </w:pPr>
    </w:p>
    <w:p w:rsidR="00EB0EA5" w:rsidRPr="004F052B" w:rsidRDefault="00EB0EA5" w:rsidP="00EB0EA5">
      <w:pPr>
        <w:contextualSpacing/>
        <w:jc w:val="both"/>
      </w:pPr>
      <w:r w:rsidRPr="00A301E8">
        <w:t>Aktivnosti programskog financiranja bit će usklađene s aktualnom Strategijom razvoja GFV-a (2023-2027) i aktualnom Znanstveno-istraživačkom strategijom GFV-a (2023-2027), usvojenima prije dobivanja navedenih uputa, ali koje će se prilikom sklapanja, odnosno pregovaranja o programskim ugovorima po potrebi doraditi i uskladiti s Katalogom ciljeva i pokazatelja MZO-a, posebice  s Nacionalnom razvojnom strategijom (NRS 2030.), Strategijom pametne specijalizacije (S3</w:t>
      </w:r>
      <w:r w:rsidR="00461597">
        <w:t xml:space="preserve"> </w:t>
      </w:r>
      <w:r w:rsidRPr="00A301E8">
        <w:t>2029),  Nacionalnim planom razvoja sustava obrazovanja za razdoblje od 2021. do 2027. godine (NPRSO) te  Nacionalnim planom oporavka i otpornosti 2021.-2026. (NPOO).</w:t>
      </w:r>
    </w:p>
    <w:p w:rsidR="00EB0EA5" w:rsidRPr="004F052B" w:rsidRDefault="00EB0EA5" w:rsidP="00EB0EA5">
      <w:pPr>
        <w:jc w:val="both"/>
      </w:pPr>
    </w:p>
    <w:p w:rsidR="00EB0EA5" w:rsidRPr="004D150A" w:rsidRDefault="00EB0EA5" w:rsidP="00EB0EA5">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6"/>
          <w:szCs w:val="26"/>
        </w:rPr>
      </w:pPr>
      <w:bookmarkStart w:id="0" w:name="_Hlk115678458"/>
      <w:r w:rsidRPr="004D150A">
        <w:rPr>
          <w:b/>
          <w:sz w:val="26"/>
          <w:szCs w:val="26"/>
        </w:rPr>
        <w:t>A621001 Redovna aktivnost Sveučilišta u Zagrebu i A622122 Programsko financiranje javnih visokih učilišta</w:t>
      </w:r>
    </w:p>
    <w:p w:rsidR="0096002C" w:rsidRDefault="0096002C" w:rsidP="00EB0EA5">
      <w:pPr>
        <w:jc w:val="both"/>
      </w:pPr>
    </w:p>
    <w:p w:rsidR="00EB0EA5" w:rsidRPr="0096002C" w:rsidRDefault="00EB0EA5" w:rsidP="00EB0EA5">
      <w:pPr>
        <w:jc w:val="both"/>
      </w:pPr>
      <w:r w:rsidRPr="0096002C">
        <w:t>Zakonske i druge pravne osnove</w:t>
      </w:r>
    </w:p>
    <w:p w:rsidR="00EB0EA5" w:rsidRPr="0096002C" w:rsidRDefault="00EB0EA5" w:rsidP="00EB0EA5">
      <w:pPr>
        <w:pStyle w:val="Odlomakpopisa"/>
        <w:numPr>
          <w:ilvl w:val="0"/>
          <w:numId w:val="30"/>
        </w:numPr>
        <w:spacing w:after="0"/>
        <w:jc w:val="both"/>
        <w:rPr>
          <w:rFonts w:ascii="Times New Roman" w:hAnsi="Times New Roman"/>
          <w:sz w:val="24"/>
          <w:szCs w:val="24"/>
        </w:rPr>
      </w:pPr>
      <w:r w:rsidRPr="0096002C">
        <w:rPr>
          <w:rFonts w:ascii="Times New Roman" w:hAnsi="Times New Roman"/>
          <w:sz w:val="24"/>
          <w:szCs w:val="24"/>
        </w:rPr>
        <w:t>Zakon o znanstvenoj djelatnosti i visokom obrazovanju</w:t>
      </w:r>
    </w:p>
    <w:p w:rsidR="00EB0EA5" w:rsidRPr="0096002C" w:rsidRDefault="00EB0EA5" w:rsidP="00EB0EA5">
      <w:pPr>
        <w:pStyle w:val="Odlomakpopisa"/>
        <w:numPr>
          <w:ilvl w:val="0"/>
          <w:numId w:val="30"/>
        </w:numPr>
        <w:spacing w:after="0"/>
        <w:jc w:val="both"/>
        <w:rPr>
          <w:rFonts w:ascii="Times New Roman" w:hAnsi="Times New Roman"/>
          <w:sz w:val="24"/>
          <w:szCs w:val="24"/>
        </w:rPr>
      </w:pPr>
      <w:r w:rsidRPr="0096002C">
        <w:rPr>
          <w:rFonts w:ascii="Times New Roman" w:hAnsi="Times New Roman"/>
          <w:sz w:val="24"/>
          <w:szCs w:val="24"/>
        </w:rPr>
        <w:t xml:space="preserve">Uredba o nazivima radnih mjesta i koeficijentima složenosti poslova u javnim službama  </w:t>
      </w:r>
    </w:p>
    <w:p w:rsidR="00EB0EA5" w:rsidRPr="0096002C" w:rsidRDefault="00EB0EA5" w:rsidP="00EB0EA5">
      <w:pPr>
        <w:pStyle w:val="Odlomakpopisa"/>
        <w:numPr>
          <w:ilvl w:val="0"/>
          <w:numId w:val="28"/>
        </w:numPr>
        <w:jc w:val="both"/>
        <w:rPr>
          <w:rFonts w:ascii="Times New Roman" w:hAnsi="Times New Roman"/>
          <w:sz w:val="24"/>
          <w:szCs w:val="24"/>
        </w:rPr>
      </w:pPr>
      <w:r w:rsidRPr="0096002C">
        <w:rPr>
          <w:rFonts w:ascii="Times New Roman" w:hAnsi="Times New Roman"/>
          <w:sz w:val="24"/>
          <w:szCs w:val="24"/>
        </w:rPr>
        <w:t>Temeljni kolektivni ugovor za službenike i namještenike u javnim službama</w:t>
      </w:r>
    </w:p>
    <w:tbl>
      <w:tblPr>
        <w:tblStyle w:val="Reetkatablice"/>
        <w:tblW w:w="9067" w:type="dxa"/>
        <w:tblLook w:val="04A0" w:firstRow="1" w:lastRow="0" w:firstColumn="1" w:lastColumn="0" w:noHBand="0" w:noVBand="1"/>
      </w:tblPr>
      <w:tblGrid>
        <w:gridCol w:w="3146"/>
        <w:gridCol w:w="1176"/>
        <w:gridCol w:w="1189"/>
        <w:gridCol w:w="1176"/>
        <w:gridCol w:w="1190"/>
        <w:gridCol w:w="1190"/>
      </w:tblGrid>
      <w:tr w:rsidR="00EB0EA5" w:rsidRPr="0096002C" w:rsidTr="002F5482">
        <w:tc>
          <w:tcPr>
            <w:tcW w:w="3397" w:type="dxa"/>
            <w:shd w:val="clear" w:color="auto" w:fill="D0CECE" w:themeFill="background2" w:themeFillShade="E6"/>
          </w:tcPr>
          <w:p w:rsidR="00EB0EA5" w:rsidRPr="0096002C" w:rsidRDefault="00EB0EA5" w:rsidP="002F5482">
            <w:pPr>
              <w:jc w:val="both"/>
            </w:pPr>
          </w:p>
          <w:p w:rsidR="00EB0EA5" w:rsidRPr="0096002C" w:rsidRDefault="00EB0EA5" w:rsidP="002F5482">
            <w:pPr>
              <w:jc w:val="both"/>
            </w:pPr>
          </w:p>
        </w:tc>
        <w:tc>
          <w:tcPr>
            <w:tcW w:w="1134" w:type="dxa"/>
            <w:shd w:val="clear" w:color="auto" w:fill="D0CECE" w:themeFill="background2" w:themeFillShade="E6"/>
            <w:vAlign w:val="center"/>
          </w:tcPr>
          <w:p w:rsidR="00EB0EA5" w:rsidRPr="0096002C" w:rsidRDefault="00EB0EA5" w:rsidP="002F5482">
            <w:pPr>
              <w:jc w:val="center"/>
            </w:pPr>
            <w:r w:rsidRPr="0096002C">
              <w:t>Izvršenje 2023.</w:t>
            </w:r>
          </w:p>
        </w:tc>
        <w:tc>
          <w:tcPr>
            <w:tcW w:w="1191" w:type="dxa"/>
            <w:shd w:val="clear" w:color="auto" w:fill="D0CECE" w:themeFill="background2" w:themeFillShade="E6"/>
            <w:vAlign w:val="center"/>
          </w:tcPr>
          <w:p w:rsidR="00EB0EA5" w:rsidRPr="0096002C" w:rsidRDefault="00EB0EA5" w:rsidP="002F5482">
            <w:pPr>
              <w:jc w:val="center"/>
            </w:pPr>
            <w:r w:rsidRPr="0096002C">
              <w:t>Tekući plan 2024.</w:t>
            </w:r>
          </w:p>
        </w:tc>
        <w:tc>
          <w:tcPr>
            <w:tcW w:w="1108" w:type="dxa"/>
            <w:shd w:val="clear" w:color="auto" w:fill="D0CECE" w:themeFill="background2" w:themeFillShade="E6"/>
            <w:vAlign w:val="center"/>
          </w:tcPr>
          <w:p w:rsidR="00EB0EA5" w:rsidRPr="0096002C" w:rsidRDefault="00EB0EA5" w:rsidP="002F5482">
            <w:pPr>
              <w:jc w:val="center"/>
            </w:pPr>
            <w:r w:rsidRPr="0096002C">
              <w:t>Plan 2025.</w:t>
            </w:r>
          </w:p>
        </w:tc>
        <w:tc>
          <w:tcPr>
            <w:tcW w:w="1108" w:type="dxa"/>
            <w:shd w:val="clear" w:color="auto" w:fill="D0CECE" w:themeFill="background2" w:themeFillShade="E6"/>
            <w:vAlign w:val="center"/>
          </w:tcPr>
          <w:p w:rsidR="00EB0EA5" w:rsidRPr="0096002C" w:rsidRDefault="00EB0EA5" w:rsidP="002F5482">
            <w:pPr>
              <w:jc w:val="center"/>
            </w:pPr>
            <w:r w:rsidRPr="0096002C">
              <w:t>Projekcija 2026.</w:t>
            </w:r>
          </w:p>
        </w:tc>
        <w:tc>
          <w:tcPr>
            <w:tcW w:w="1129" w:type="dxa"/>
            <w:shd w:val="clear" w:color="auto" w:fill="D0CECE" w:themeFill="background2" w:themeFillShade="E6"/>
            <w:vAlign w:val="center"/>
          </w:tcPr>
          <w:p w:rsidR="00EB0EA5" w:rsidRPr="0096002C" w:rsidRDefault="00EB0EA5" w:rsidP="002F5482">
            <w:pPr>
              <w:jc w:val="center"/>
            </w:pPr>
            <w:r w:rsidRPr="0096002C">
              <w:t>Projekcija 2027.</w:t>
            </w:r>
          </w:p>
        </w:tc>
      </w:tr>
      <w:tr w:rsidR="00EB0EA5" w:rsidRPr="0096002C" w:rsidTr="002F5482">
        <w:tc>
          <w:tcPr>
            <w:tcW w:w="3397" w:type="dxa"/>
          </w:tcPr>
          <w:p w:rsidR="00EB0EA5" w:rsidRPr="0096002C" w:rsidRDefault="00EB0EA5" w:rsidP="002F5482">
            <w:r w:rsidRPr="0096002C">
              <w:t>Redovna djelatnost Sveučilišta u Zagrebu A621001</w:t>
            </w:r>
          </w:p>
        </w:tc>
        <w:tc>
          <w:tcPr>
            <w:tcW w:w="1134" w:type="dxa"/>
          </w:tcPr>
          <w:p w:rsidR="00EB0EA5" w:rsidRPr="0096002C" w:rsidRDefault="00EB0EA5" w:rsidP="002F5482">
            <w:pPr>
              <w:jc w:val="right"/>
            </w:pPr>
            <w:r w:rsidRPr="0096002C">
              <w:t>2.042.684</w:t>
            </w:r>
          </w:p>
        </w:tc>
        <w:tc>
          <w:tcPr>
            <w:tcW w:w="1191" w:type="dxa"/>
          </w:tcPr>
          <w:p w:rsidR="00EB0EA5" w:rsidRPr="0096002C" w:rsidRDefault="00EB0EA5" w:rsidP="002F5482">
            <w:pPr>
              <w:jc w:val="right"/>
            </w:pPr>
            <w:r w:rsidRPr="0096002C">
              <w:t>2.219.563</w:t>
            </w:r>
          </w:p>
        </w:tc>
        <w:tc>
          <w:tcPr>
            <w:tcW w:w="1108" w:type="dxa"/>
          </w:tcPr>
          <w:p w:rsidR="00EB0EA5" w:rsidRPr="0096002C" w:rsidRDefault="00EB1D90" w:rsidP="002F5482">
            <w:pPr>
              <w:jc w:val="right"/>
            </w:pPr>
            <w:r>
              <w:t>2.392.424</w:t>
            </w:r>
          </w:p>
        </w:tc>
        <w:tc>
          <w:tcPr>
            <w:tcW w:w="1108" w:type="dxa"/>
          </w:tcPr>
          <w:p w:rsidR="00EB0EA5" w:rsidRPr="0096002C" w:rsidRDefault="00EB1D90" w:rsidP="002F5482">
            <w:pPr>
              <w:jc w:val="right"/>
            </w:pPr>
            <w:r>
              <w:t>2.404.163</w:t>
            </w:r>
          </w:p>
        </w:tc>
        <w:tc>
          <w:tcPr>
            <w:tcW w:w="1129" w:type="dxa"/>
          </w:tcPr>
          <w:p w:rsidR="00EB0EA5" w:rsidRPr="0096002C" w:rsidRDefault="00EB1D90" w:rsidP="002F5482">
            <w:pPr>
              <w:jc w:val="right"/>
            </w:pPr>
            <w:r>
              <w:t>2.415.960</w:t>
            </w:r>
          </w:p>
        </w:tc>
      </w:tr>
      <w:tr w:rsidR="00EB0EA5" w:rsidRPr="0096002C" w:rsidTr="002F5482">
        <w:tc>
          <w:tcPr>
            <w:tcW w:w="3397" w:type="dxa"/>
          </w:tcPr>
          <w:p w:rsidR="00EB0EA5" w:rsidRPr="0096002C" w:rsidRDefault="00EB0EA5" w:rsidP="002F5482">
            <w:r w:rsidRPr="0096002C">
              <w:t>Programsko financiranje javnih visokih učilišta A622122</w:t>
            </w:r>
          </w:p>
        </w:tc>
        <w:tc>
          <w:tcPr>
            <w:tcW w:w="1134" w:type="dxa"/>
          </w:tcPr>
          <w:p w:rsidR="00EB0EA5" w:rsidRPr="0096002C" w:rsidRDefault="00EB0EA5" w:rsidP="002F5482">
            <w:pPr>
              <w:jc w:val="right"/>
            </w:pPr>
            <w:r w:rsidRPr="0096002C">
              <w:t>145.930</w:t>
            </w:r>
          </w:p>
        </w:tc>
        <w:tc>
          <w:tcPr>
            <w:tcW w:w="1191" w:type="dxa"/>
          </w:tcPr>
          <w:p w:rsidR="00EB0EA5" w:rsidRPr="0096002C" w:rsidRDefault="00EB0EA5" w:rsidP="002F5482">
            <w:pPr>
              <w:jc w:val="right"/>
            </w:pPr>
            <w:r w:rsidRPr="0096002C">
              <w:t>113.887</w:t>
            </w:r>
          </w:p>
        </w:tc>
        <w:tc>
          <w:tcPr>
            <w:tcW w:w="1108" w:type="dxa"/>
          </w:tcPr>
          <w:p w:rsidR="00EB0EA5" w:rsidRPr="0096002C" w:rsidRDefault="004D6E99" w:rsidP="002F5482">
            <w:pPr>
              <w:jc w:val="right"/>
            </w:pPr>
            <w:r>
              <w:t>72.254</w:t>
            </w:r>
          </w:p>
        </w:tc>
        <w:tc>
          <w:tcPr>
            <w:tcW w:w="1108" w:type="dxa"/>
          </w:tcPr>
          <w:p w:rsidR="00EB0EA5" w:rsidRPr="0096002C" w:rsidRDefault="004D6E99" w:rsidP="002F5482">
            <w:pPr>
              <w:jc w:val="right"/>
            </w:pPr>
            <w:r>
              <w:t>7</w:t>
            </w:r>
            <w:r w:rsidR="00EB1D90">
              <w:t>4.561</w:t>
            </w:r>
          </w:p>
        </w:tc>
        <w:tc>
          <w:tcPr>
            <w:tcW w:w="1129" w:type="dxa"/>
          </w:tcPr>
          <w:p w:rsidR="00EB0EA5" w:rsidRPr="0096002C" w:rsidRDefault="004D6E99" w:rsidP="002F5482">
            <w:pPr>
              <w:jc w:val="right"/>
            </w:pPr>
            <w:r>
              <w:t>7</w:t>
            </w:r>
            <w:r w:rsidR="00EB1D90">
              <w:t>4.57</w:t>
            </w:r>
            <w:r w:rsidR="00973C89">
              <w:t>3</w:t>
            </w:r>
            <w:bookmarkStart w:id="1" w:name="_GoBack"/>
            <w:bookmarkEnd w:id="1"/>
          </w:p>
        </w:tc>
      </w:tr>
    </w:tbl>
    <w:p w:rsidR="00EB0EA5" w:rsidRPr="0096002C" w:rsidRDefault="00EB0EA5" w:rsidP="00EB0EA5">
      <w:pPr>
        <w:spacing w:before="240"/>
        <w:jc w:val="both"/>
      </w:pPr>
      <w:r w:rsidRPr="0096002C">
        <w:t>Ove aktivnosti odvijaju se kontinuirano i njihovo izvršenje je određeno limitima koji su dostavljeni od Sveučilišta u Zagrebu. Planirana sredstva trošit će se za sljedeće potrebe Fakulteta:</w:t>
      </w:r>
    </w:p>
    <w:p w:rsidR="00EB0EA5" w:rsidRPr="0096002C" w:rsidRDefault="00EB0EA5" w:rsidP="00EB0EA5">
      <w:pPr>
        <w:pStyle w:val="Odlomakpopisa"/>
        <w:numPr>
          <w:ilvl w:val="0"/>
          <w:numId w:val="29"/>
        </w:numPr>
        <w:jc w:val="both"/>
        <w:rPr>
          <w:rFonts w:ascii="Times New Roman" w:hAnsi="Times New Roman"/>
          <w:sz w:val="24"/>
          <w:szCs w:val="24"/>
        </w:rPr>
      </w:pPr>
      <w:r w:rsidRPr="0096002C">
        <w:rPr>
          <w:rFonts w:ascii="Times New Roman" w:hAnsi="Times New Roman"/>
          <w:sz w:val="24"/>
          <w:szCs w:val="24"/>
        </w:rPr>
        <w:t>Rashodi za zaposlene</w:t>
      </w:r>
    </w:p>
    <w:p w:rsidR="00EB0EA5" w:rsidRPr="0096002C" w:rsidRDefault="00EB0EA5" w:rsidP="00EB0EA5">
      <w:pPr>
        <w:pStyle w:val="Odlomakpopisa"/>
        <w:numPr>
          <w:ilvl w:val="0"/>
          <w:numId w:val="29"/>
        </w:numPr>
        <w:jc w:val="both"/>
        <w:rPr>
          <w:rFonts w:ascii="Times New Roman" w:hAnsi="Times New Roman"/>
          <w:sz w:val="24"/>
          <w:szCs w:val="24"/>
        </w:rPr>
      </w:pPr>
      <w:r w:rsidRPr="0096002C">
        <w:rPr>
          <w:rFonts w:ascii="Times New Roman" w:hAnsi="Times New Roman"/>
          <w:sz w:val="24"/>
          <w:szCs w:val="24"/>
        </w:rPr>
        <w:t>Materijalna prava</w:t>
      </w:r>
    </w:p>
    <w:p w:rsidR="00EB0EA5" w:rsidRPr="0096002C" w:rsidRDefault="00EB0EA5" w:rsidP="00EB0EA5">
      <w:pPr>
        <w:pStyle w:val="Odlomakpopisa"/>
        <w:numPr>
          <w:ilvl w:val="0"/>
          <w:numId w:val="29"/>
        </w:numPr>
        <w:jc w:val="both"/>
        <w:rPr>
          <w:rFonts w:ascii="Times New Roman" w:hAnsi="Times New Roman"/>
          <w:sz w:val="24"/>
          <w:szCs w:val="24"/>
        </w:rPr>
      </w:pPr>
      <w:r w:rsidRPr="0096002C">
        <w:rPr>
          <w:rFonts w:ascii="Times New Roman" w:hAnsi="Times New Roman"/>
          <w:sz w:val="24"/>
          <w:szCs w:val="24"/>
        </w:rPr>
        <w:t>Troškove poslovanja</w:t>
      </w:r>
    </w:p>
    <w:p w:rsidR="00EB0EA5" w:rsidRPr="0096002C" w:rsidRDefault="00EB0EA5" w:rsidP="00EB0EA5">
      <w:pPr>
        <w:jc w:val="both"/>
      </w:pPr>
      <w:r w:rsidRPr="0096002C">
        <w:lastRenderedPageBreak/>
        <w:t xml:space="preserve">U razdoblju 2025. – 2007. očekuje se ostvarenje sljedećeg: </w:t>
      </w:r>
      <w:r w:rsidR="00392161">
        <w:t>R</w:t>
      </w:r>
      <w:r w:rsidRPr="0096002C">
        <w:t>edovna isplata plaća i materijalnih prava zaposlenika, doprinosa, prijevoza, sistematskih pregleda, naknade za nezapošljavanja osoba s invaliditetom, studentski</w:t>
      </w:r>
      <w:r w:rsidR="00392161">
        <w:t>h</w:t>
      </w:r>
      <w:r w:rsidRPr="0096002C">
        <w:t xml:space="preserve"> program</w:t>
      </w:r>
      <w:r w:rsidR="00392161">
        <w:t>a</w:t>
      </w:r>
      <w:r w:rsidRPr="0096002C">
        <w:t>, podmirenje osnovnih materijalnih rashoda odnosno režijskih troškova kao i napredak znanstvene djelatnosti zaposlenika (napredovanja, konferencije, objava članaka i slično).</w:t>
      </w:r>
    </w:p>
    <w:p w:rsidR="00EB0EA5" w:rsidRPr="0096002C" w:rsidRDefault="00EB0EA5" w:rsidP="00EB0EA5">
      <w:pPr>
        <w:jc w:val="both"/>
      </w:pPr>
      <w:r w:rsidRPr="0096002C">
        <w:rPr>
          <w:lang w:eastAsia="en-GB"/>
        </w:rPr>
        <w:t xml:space="preserve">Ove aktivnosti provode se svake godine.  </w:t>
      </w:r>
    </w:p>
    <w:p w:rsidR="00EB0EA5" w:rsidRPr="0096002C" w:rsidRDefault="00EB0EA5" w:rsidP="00EB0EA5">
      <w:pPr>
        <w:jc w:val="both"/>
        <w:rPr>
          <w:lang w:eastAsia="en-GB"/>
        </w:rPr>
      </w:pPr>
      <w:r w:rsidRPr="0096002C">
        <w:rPr>
          <w:lang w:eastAsia="en-GB"/>
        </w:rPr>
        <w:t xml:space="preserve">Aktivnost redovne djelatnosti planirala se za 2025. godinu </w:t>
      </w:r>
      <w:bookmarkStart w:id="2" w:name="_Hlk118371578"/>
      <w:r w:rsidRPr="0096002C">
        <w:rPr>
          <w:lang w:eastAsia="en-GB"/>
        </w:rPr>
        <w:t>prema dostavljenim podacima/limitima od strane Ministarstva znanosti, obrazovanja i mladih i Sveučilišta u Zagrebu, s ciljem usklađenja prijedloga financijskih planova za glavu 08006.</w:t>
      </w:r>
      <w:bookmarkEnd w:id="2"/>
      <w:r w:rsidRPr="0096002C">
        <w:rPr>
          <w:lang w:eastAsia="en-GB"/>
        </w:rPr>
        <w:t xml:space="preserve"> </w:t>
      </w:r>
    </w:p>
    <w:p w:rsidR="00EB0EA5" w:rsidRPr="0096002C" w:rsidRDefault="00EB0EA5" w:rsidP="00EB0EA5">
      <w:pPr>
        <w:jc w:val="both"/>
        <w:rPr>
          <w:i/>
          <w:lang w:eastAsia="en-GB"/>
        </w:rPr>
      </w:pPr>
    </w:p>
    <w:p w:rsidR="00EB0EA5" w:rsidRPr="004F052B" w:rsidRDefault="00EB0EA5" w:rsidP="00EB0EA5">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bookmarkStart w:id="3" w:name="_Hlk115681246"/>
      <w:bookmarkEnd w:id="0"/>
      <w:r w:rsidRPr="004D150A">
        <w:rPr>
          <w:b/>
          <w:sz w:val="26"/>
          <w:szCs w:val="26"/>
        </w:rPr>
        <w:t>A679088 Redovna aktivnost Sveučilišta u Zagrebu (iz evidencijskih prihoda)- Vlastiti prihodi</w:t>
      </w:r>
      <w:r w:rsidR="00392161">
        <w:rPr>
          <w:b/>
          <w:sz w:val="26"/>
          <w:szCs w:val="26"/>
        </w:rPr>
        <w:t xml:space="preserve">, </w:t>
      </w:r>
      <w:r w:rsidRPr="004D150A">
        <w:rPr>
          <w:b/>
          <w:sz w:val="26"/>
          <w:szCs w:val="26"/>
        </w:rPr>
        <w:t>Prihodi za posebne namjene</w:t>
      </w:r>
      <w:r w:rsidR="00392161">
        <w:rPr>
          <w:b/>
          <w:sz w:val="26"/>
          <w:szCs w:val="26"/>
        </w:rPr>
        <w:t xml:space="preserve"> i Ostale pomoći</w:t>
      </w:r>
      <w:r w:rsidRPr="004D150A">
        <w:rPr>
          <w:b/>
          <w:sz w:val="26"/>
          <w:szCs w:val="26"/>
        </w:rPr>
        <w:t xml:space="preserve"> </w:t>
      </w:r>
      <w:r w:rsidR="00392161">
        <w:rPr>
          <w:b/>
          <w:sz w:val="26"/>
          <w:szCs w:val="26"/>
        </w:rPr>
        <w:t>(</w:t>
      </w:r>
      <w:r w:rsidRPr="004D150A">
        <w:rPr>
          <w:b/>
          <w:sz w:val="26"/>
          <w:szCs w:val="26"/>
        </w:rPr>
        <w:t>izvori 31, 43, 52</w:t>
      </w:r>
      <w:r w:rsidR="00392161">
        <w:rPr>
          <w:b/>
          <w:sz w:val="28"/>
        </w:rPr>
        <w:t>)</w:t>
      </w:r>
    </w:p>
    <w:bookmarkEnd w:id="3"/>
    <w:p w:rsidR="0096002C" w:rsidRDefault="0096002C" w:rsidP="00EB0EA5">
      <w:pPr>
        <w:jc w:val="both"/>
      </w:pPr>
    </w:p>
    <w:p w:rsidR="00EB0EA5" w:rsidRPr="004F052B" w:rsidRDefault="00EB0EA5" w:rsidP="00EB0EA5">
      <w:pPr>
        <w:jc w:val="both"/>
      </w:pPr>
      <w:r w:rsidRPr="004F052B">
        <w:t>Zakonske i druge pravne osnove</w:t>
      </w:r>
    </w:p>
    <w:p w:rsidR="00EB0EA5" w:rsidRPr="004F052B" w:rsidRDefault="00EB0EA5" w:rsidP="00EB0EA5">
      <w:pPr>
        <w:pStyle w:val="Odlomakpopisa"/>
        <w:numPr>
          <w:ilvl w:val="0"/>
          <w:numId w:val="30"/>
        </w:numPr>
        <w:spacing w:after="0"/>
        <w:jc w:val="both"/>
        <w:rPr>
          <w:rFonts w:ascii="Times New Roman" w:hAnsi="Times New Roman"/>
        </w:rPr>
      </w:pPr>
      <w:r w:rsidRPr="004F052B">
        <w:rPr>
          <w:rFonts w:ascii="Times New Roman" w:hAnsi="Times New Roman"/>
        </w:rPr>
        <w:t>Zakon o znanstvenoj djelatnosti i visokom obrazovanju</w:t>
      </w:r>
    </w:p>
    <w:p w:rsidR="00EB0EA5" w:rsidRPr="004F052B" w:rsidRDefault="00EB0EA5" w:rsidP="00EB0EA5">
      <w:pPr>
        <w:pStyle w:val="Odlomakpopisa"/>
        <w:numPr>
          <w:ilvl w:val="0"/>
          <w:numId w:val="30"/>
        </w:numPr>
        <w:spacing w:after="0"/>
        <w:jc w:val="both"/>
        <w:rPr>
          <w:rFonts w:ascii="Times New Roman" w:hAnsi="Times New Roman"/>
        </w:rPr>
      </w:pPr>
      <w:r w:rsidRPr="004F052B">
        <w:rPr>
          <w:rFonts w:ascii="Times New Roman" w:hAnsi="Times New Roman"/>
        </w:rPr>
        <w:t xml:space="preserve">Uredba o nazivima radnih mjesta i koeficijentima složenosti poslova u javnim službama  </w:t>
      </w:r>
    </w:p>
    <w:p w:rsidR="00EB0EA5" w:rsidRPr="004F052B" w:rsidRDefault="00EB0EA5" w:rsidP="00EB0EA5">
      <w:pPr>
        <w:pStyle w:val="Odlomakpopisa"/>
        <w:numPr>
          <w:ilvl w:val="0"/>
          <w:numId w:val="28"/>
        </w:numPr>
        <w:jc w:val="both"/>
        <w:rPr>
          <w:rFonts w:ascii="Times New Roman" w:hAnsi="Times New Roman"/>
        </w:rPr>
      </w:pPr>
      <w:r w:rsidRPr="004F052B">
        <w:rPr>
          <w:rFonts w:ascii="Times New Roman" w:hAnsi="Times New Roman"/>
        </w:rPr>
        <w:t>Temeljni kolektivni ugovor za službenike i namještenike u javnim službama</w:t>
      </w:r>
    </w:p>
    <w:tbl>
      <w:tblPr>
        <w:tblStyle w:val="Reetkatablice"/>
        <w:tblW w:w="9067" w:type="dxa"/>
        <w:tblLook w:val="04A0" w:firstRow="1" w:lastRow="0" w:firstColumn="1" w:lastColumn="0" w:noHBand="0" w:noVBand="1"/>
      </w:tblPr>
      <w:tblGrid>
        <w:gridCol w:w="3164"/>
        <w:gridCol w:w="1132"/>
        <w:gridCol w:w="1263"/>
        <w:gridCol w:w="1128"/>
        <w:gridCol w:w="1190"/>
        <w:gridCol w:w="1190"/>
      </w:tblGrid>
      <w:tr w:rsidR="00EB0EA5" w:rsidRPr="004F052B" w:rsidTr="002F5482">
        <w:tc>
          <w:tcPr>
            <w:tcW w:w="3256" w:type="dxa"/>
            <w:shd w:val="clear" w:color="auto" w:fill="D0CECE" w:themeFill="background2" w:themeFillShade="E6"/>
          </w:tcPr>
          <w:p w:rsidR="00EB0EA5" w:rsidRPr="004F052B" w:rsidRDefault="00EB0EA5" w:rsidP="002F5482">
            <w:pPr>
              <w:jc w:val="both"/>
            </w:pPr>
          </w:p>
          <w:p w:rsidR="00EB0EA5" w:rsidRPr="004F052B" w:rsidRDefault="00EB0EA5" w:rsidP="002F5482">
            <w:pPr>
              <w:jc w:val="both"/>
            </w:pPr>
          </w:p>
        </w:tc>
        <w:tc>
          <w:tcPr>
            <w:tcW w:w="1134" w:type="dxa"/>
            <w:shd w:val="clear" w:color="auto" w:fill="D0CECE" w:themeFill="background2" w:themeFillShade="E6"/>
            <w:vAlign w:val="center"/>
          </w:tcPr>
          <w:p w:rsidR="00EB0EA5" w:rsidRPr="004F052B" w:rsidRDefault="00EB0EA5" w:rsidP="002F5482">
            <w:pPr>
              <w:jc w:val="center"/>
            </w:pPr>
            <w:r w:rsidRPr="004F052B">
              <w:t>Izvršenje 2023.</w:t>
            </w:r>
          </w:p>
        </w:tc>
        <w:tc>
          <w:tcPr>
            <w:tcW w:w="1275" w:type="dxa"/>
            <w:shd w:val="clear" w:color="auto" w:fill="D0CECE" w:themeFill="background2" w:themeFillShade="E6"/>
            <w:vAlign w:val="center"/>
          </w:tcPr>
          <w:p w:rsidR="00EB0EA5" w:rsidRPr="004F052B" w:rsidRDefault="00EB0EA5" w:rsidP="002F5482">
            <w:pPr>
              <w:jc w:val="center"/>
            </w:pPr>
            <w:r w:rsidRPr="004F052B">
              <w:t>Tekući plan 2024.</w:t>
            </w:r>
          </w:p>
        </w:tc>
        <w:tc>
          <w:tcPr>
            <w:tcW w:w="1134" w:type="dxa"/>
            <w:shd w:val="clear" w:color="auto" w:fill="D0CECE" w:themeFill="background2" w:themeFillShade="E6"/>
            <w:vAlign w:val="center"/>
          </w:tcPr>
          <w:p w:rsidR="00EB0EA5" w:rsidRPr="004F052B" w:rsidRDefault="00EB0EA5" w:rsidP="002F5482">
            <w:pPr>
              <w:jc w:val="center"/>
            </w:pPr>
            <w:r w:rsidRPr="004F052B">
              <w:t>Plan 2025.</w:t>
            </w:r>
          </w:p>
        </w:tc>
        <w:tc>
          <w:tcPr>
            <w:tcW w:w="1134" w:type="dxa"/>
            <w:shd w:val="clear" w:color="auto" w:fill="D0CECE" w:themeFill="background2" w:themeFillShade="E6"/>
            <w:vAlign w:val="center"/>
          </w:tcPr>
          <w:p w:rsidR="00EB0EA5" w:rsidRPr="004F052B" w:rsidRDefault="00EB0EA5" w:rsidP="002F5482">
            <w:pPr>
              <w:jc w:val="center"/>
            </w:pPr>
            <w:r w:rsidRPr="004F052B">
              <w:t>Projekcija 2026.</w:t>
            </w:r>
          </w:p>
        </w:tc>
        <w:tc>
          <w:tcPr>
            <w:tcW w:w="1134" w:type="dxa"/>
            <w:shd w:val="clear" w:color="auto" w:fill="D0CECE" w:themeFill="background2" w:themeFillShade="E6"/>
            <w:vAlign w:val="center"/>
          </w:tcPr>
          <w:p w:rsidR="00EB0EA5" w:rsidRPr="004F052B" w:rsidRDefault="00EB0EA5" w:rsidP="002F5482">
            <w:pPr>
              <w:jc w:val="center"/>
            </w:pPr>
            <w:r w:rsidRPr="004F052B">
              <w:t>Projekcija 2027.</w:t>
            </w:r>
          </w:p>
        </w:tc>
      </w:tr>
      <w:tr w:rsidR="00EB0EA5" w:rsidRPr="004F052B" w:rsidTr="002F5482">
        <w:tc>
          <w:tcPr>
            <w:tcW w:w="3256" w:type="dxa"/>
          </w:tcPr>
          <w:p w:rsidR="00EB0EA5" w:rsidRPr="004F052B" w:rsidRDefault="00EB0EA5" w:rsidP="002F5482">
            <w:r w:rsidRPr="004F052B">
              <w:t>Vlastiti prihodi (31)</w:t>
            </w:r>
          </w:p>
        </w:tc>
        <w:tc>
          <w:tcPr>
            <w:tcW w:w="1134" w:type="dxa"/>
          </w:tcPr>
          <w:p w:rsidR="00EB0EA5" w:rsidRPr="004F052B" w:rsidRDefault="00EB0EA5" w:rsidP="002F5482">
            <w:pPr>
              <w:jc w:val="right"/>
            </w:pPr>
            <w:r w:rsidRPr="004F052B">
              <w:t>274.481</w:t>
            </w:r>
          </w:p>
        </w:tc>
        <w:tc>
          <w:tcPr>
            <w:tcW w:w="1275" w:type="dxa"/>
          </w:tcPr>
          <w:p w:rsidR="00EB0EA5" w:rsidRPr="004F052B" w:rsidRDefault="00EB0EA5" w:rsidP="002F5482">
            <w:pPr>
              <w:jc w:val="right"/>
            </w:pPr>
            <w:r w:rsidRPr="004F052B">
              <w:t>321.967</w:t>
            </w:r>
          </w:p>
        </w:tc>
        <w:tc>
          <w:tcPr>
            <w:tcW w:w="1134" w:type="dxa"/>
          </w:tcPr>
          <w:p w:rsidR="00EB0EA5" w:rsidRPr="004F052B" w:rsidRDefault="00EB0EA5" w:rsidP="002F5482">
            <w:pPr>
              <w:jc w:val="right"/>
            </w:pPr>
            <w:r w:rsidRPr="004F052B">
              <w:t>300.000</w:t>
            </w:r>
          </w:p>
        </w:tc>
        <w:tc>
          <w:tcPr>
            <w:tcW w:w="1134" w:type="dxa"/>
          </w:tcPr>
          <w:p w:rsidR="00EB0EA5" w:rsidRPr="004F052B" w:rsidRDefault="00EB0EA5" w:rsidP="002F5482">
            <w:pPr>
              <w:jc w:val="right"/>
            </w:pPr>
            <w:r w:rsidRPr="004F052B">
              <w:t>325.000</w:t>
            </w:r>
          </w:p>
        </w:tc>
        <w:tc>
          <w:tcPr>
            <w:tcW w:w="1134" w:type="dxa"/>
          </w:tcPr>
          <w:p w:rsidR="00EB0EA5" w:rsidRPr="004F052B" w:rsidRDefault="00EB0EA5" w:rsidP="002F5482">
            <w:pPr>
              <w:jc w:val="right"/>
            </w:pPr>
            <w:r w:rsidRPr="004F052B">
              <w:t>325.000</w:t>
            </w:r>
          </w:p>
        </w:tc>
      </w:tr>
      <w:tr w:rsidR="00EB0EA5" w:rsidRPr="004F052B" w:rsidTr="002F5482">
        <w:tc>
          <w:tcPr>
            <w:tcW w:w="3256" w:type="dxa"/>
          </w:tcPr>
          <w:p w:rsidR="00EB0EA5" w:rsidRPr="004F052B" w:rsidRDefault="00EB0EA5" w:rsidP="002F5482">
            <w:r w:rsidRPr="004F052B">
              <w:t>Prihodi za posebne namjene (43)</w:t>
            </w:r>
          </w:p>
        </w:tc>
        <w:tc>
          <w:tcPr>
            <w:tcW w:w="1134" w:type="dxa"/>
          </w:tcPr>
          <w:p w:rsidR="00EB0EA5" w:rsidRPr="004F052B" w:rsidRDefault="00EB0EA5" w:rsidP="002F5482">
            <w:pPr>
              <w:jc w:val="right"/>
            </w:pPr>
            <w:r w:rsidRPr="004F052B">
              <w:t>51.884</w:t>
            </w:r>
          </w:p>
        </w:tc>
        <w:tc>
          <w:tcPr>
            <w:tcW w:w="1275" w:type="dxa"/>
          </w:tcPr>
          <w:p w:rsidR="00EB0EA5" w:rsidRPr="004F052B" w:rsidRDefault="00EB0EA5" w:rsidP="002F5482">
            <w:pPr>
              <w:jc w:val="right"/>
            </w:pPr>
            <w:r w:rsidRPr="004F052B">
              <w:t>14.350</w:t>
            </w:r>
          </w:p>
        </w:tc>
        <w:tc>
          <w:tcPr>
            <w:tcW w:w="1134" w:type="dxa"/>
          </w:tcPr>
          <w:p w:rsidR="00EB0EA5" w:rsidRPr="004F052B" w:rsidRDefault="00EB0EA5" w:rsidP="002F5482">
            <w:pPr>
              <w:jc w:val="right"/>
            </w:pPr>
            <w:r w:rsidRPr="004F052B">
              <w:t>70.000</w:t>
            </w:r>
          </w:p>
        </w:tc>
        <w:tc>
          <w:tcPr>
            <w:tcW w:w="1134" w:type="dxa"/>
          </w:tcPr>
          <w:p w:rsidR="00EB0EA5" w:rsidRPr="004F052B" w:rsidRDefault="00EB0EA5" w:rsidP="002F5482">
            <w:pPr>
              <w:jc w:val="right"/>
            </w:pPr>
            <w:r w:rsidRPr="004F052B">
              <w:t>85.000</w:t>
            </w:r>
          </w:p>
        </w:tc>
        <w:tc>
          <w:tcPr>
            <w:tcW w:w="1134" w:type="dxa"/>
          </w:tcPr>
          <w:p w:rsidR="00EB0EA5" w:rsidRPr="004F052B" w:rsidRDefault="00EB0EA5" w:rsidP="002F5482">
            <w:pPr>
              <w:jc w:val="right"/>
            </w:pPr>
            <w:r w:rsidRPr="004F052B">
              <w:t>85.000</w:t>
            </w:r>
          </w:p>
        </w:tc>
      </w:tr>
      <w:tr w:rsidR="00EB0EA5" w:rsidRPr="004F052B" w:rsidTr="002F5482">
        <w:tc>
          <w:tcPr>
            <w:tcW w:w="3256" w:type="dxa"/>
          </w:tcPr>
          <w:p w:rsidR="00EB0EA5" w:rsidRPr="004F052B" w:rsidRDefault="00EB0EA5" w:rsidP="002F5482">
            <w:r w:rsidRPr="004F052B">
              <w:t>Ostale pomoći (52)</w:t>
            </w:r>
          </w:p>
        </w:tc>
        <w:tc>
          <w:tcPr>
            <w:tcW w:w="1134" w:type="dxa"/>
          </w:tcPr>
          <w:p w:rsidR="00EB0EA5" w:rsidRPr="004F052B" w:rsidRDefault="00EB0EA5" w:rsidP="002F5482">
            <w:pPr>
              <w:jc w:val="right"/>
            </w:pPr>
            <w:r w:rsidRPr="004F052B">
              <w:t xml:space="preserve"> 80.857</w:t>
            </w:r>
          </w:p>
        </w:tc>
        <w:tc>
          <w:tcPr>
            <w:tcW w:w="1275" w:type="dxa"/>
          </w:tcPr>
          <w:p w:rsidR="00EB0EA5" w:rsidRPr="004F052B" w:rsidRDefault="00EB0EA5" w:rsidP="002F5482">
            <w:pPr>
              <w:jc w:val="right"/>
            </w:pPr>
            <w:r w:rsidRPr="004F052B">
              <w:t>174.195</w:t>
            </w:r>
          </w:p>
        </w:tc>
        <w:tc>
          <w:tcPr>
            <w:tcW w:w="1134" w:type="dxa"/>
          </w:tcPr>
          <w:p w:rsidR="00EB0EA5" w:rsidRPr="004F052B" w:rsidRDefault="00EB0EA5" w:rsidP="002F5482">
            <w:pPr>
              <w:jc w:val="right"/>
            </w:pPr>
            <w:r w:rsidRPr="004F052B">
              <w:t>41.898</w:t>
            </w:r>
          </w:p>
        </w:tc>
        <w:tc>
          <w:tcPr>
            <w:tcW w:w="1134" w:type="dxa"/>
          </w:tcPr>
          <w:p w:rsidR="00EB0EA5" w:rsidRPr="004F052B" w:rsidRDefault="00EB0EA5" w:rsidP="002F5482">
            <w:pPr>
              <w:jc w:val="right"/>
            </w:pPr>
            <w:r w:rsidRPr="004F052B">
              <w:t>28.919</w:t>
            </w:r>
          </w:p>
        </w:tc>
        <w:tc>
          <w:tcPr>
            <w:tcW w:w="1134" w:type="dxa"/>
          </w:tcPr>
          <w:p w:rsidR="00EB0EA5" w:rsidRPr="004F052B" w:rsidRDefault="00EB0EA5" w:rsidP="002F5482">
            <w:pPr>
              <w:jc w:val="right"/>
            </w:pPr>
            <w:r w:rsidRPr="004F052B">
              <w:t>22.382</w:t>
            </w:r>
          </w:p>
        </w:tc>
      </w:tr>
    </w:tbl>
    <w:p w:rsidR="00EB0EA5" w:rsidRPr="0096002C" w:rsidRDefault="00EB0EA5" w:rsidP="00EB0EA5">
      <w:pPr>
        <w:spacing w:before="240"/>
        <w:jc w:val="both"/>
      </w:pPr>
      <w:r w:rsidRPr="0096002C">
        <w:t>Ove aktivnosti odvijaju se kontinuirano i njihovo izvršenje je određeno ostvarenjem odnosno iznosom ugovorenih poslova iz suradnje s gospodarstvom, projektnim financiranjem znanstvene djelatnosti od strane Hrvatske zaklade za znanost i brojem upisanih studenata na prijediplomskom, diplomskom i doktorskom studiju Fakulteta. Planirana sredstva trošit će se za sljedeće potrebe Fakulteta:</w:t>
      </w:r>
    </w:p>
    <w:p w:rsidR="00EB0EA5" w:rsidRPr="0096002C" w:rsidRDefault="00EB0EA5" w:rsidP="00EB0EA5">
      <w:pPr>
        <w:pStyle w:val="Odlomakpopisa"/>
        <w:numPr>
          <w:ilvl w:val="0"/>
          <w:numId w:val="31"/>
        </w:numPr>
        <w:jc w:val="both"/>
        <w:rPr>
          <w:rFonts w:ascii="Times New Roman" w:hAnsi="Times New Roman"/>
          <w:sz w:val="24"/>
          <w:szCs w:val="24"/>
        </w:rPr>
      </w:pPr>
      <w:r w:rsidRPr="0096002C">
        <w:rPr>
          <w:rFonts w:ascii="Times New Roman" w:hAnsi="Times New Roman"/>
          <w:sz w:val="24"/>
          <w:szCs w:val="24"/>
        </w:rPr>
        <w:t>Rashodi za zaposlene</w:t>
      </w:r>
    </w:p>
    <w:p w:rsidR="00EB0EA5" w:rsidRPr="0096002C" w:rsidRDefault="00EB0EA5" w:rsidP="00EB0EA5">
      <w:pPr>
        <w:pStyle w:val="Odlomakpopisa"/>
        <w:numPr>
          <w:ilvl w:val="0"/>
          <w:numId w:val="31"/>
        </w:numPr>
        <w:jc w:val="both"/>
        <w:rPr>
          <w:rFonts w:ascii="Times New Roman" w:hAnsi="Times New Roman"/>
          <w:sz w:val="24"/>
          <w:szCs w:val="24"/>
        </w:rPr>
      </w:pPr>
      <w:r w:rsidRPr="0096002C">
        <w:rPr>
          <w:rFonts w:ascii="Times New Roman" w:hAnsi="Times New Roman"/>
          <w:sz w:val="24"/>
          <w:szCs w:val="24"/>
        </w:rPr>
        <w:t>Materijalna prava</w:t>
      </w:r>
    </w:p>
    <w:p w:rsidR="00EB0EA5" w:rsidRPr="0096002C" w:rsidRDefault="00EB0EA5" w:rsidP="00EB0EA5">
      <w:pPr>
        <w:pStyle w:val="Odlomakpopisa"/>
        <w:numPr>
          <w:ilvl w:val="0"/>
          <w:numId w:val="31"/>
        </w:numPr>
        <w:jc w:val="both"/>
        <w:rPr>
          <w:rFonts w:ascii="Times New Roman" w:hAnsi="Times New Roman"/>
          <w:sz w:val="24"/>
          <w:szCs w:val="24"/>
        </w:rPr>
      </w:pPr>
      <w:r w:rsidRPr="0096002C">
        <w:rPr>
          <w:rFonts w:ascii="Times New Roman" w:hAnsi="Times New Roman"/>
          <w:sz w:val="24"/>
          <w:szCs w:val="24"/>
        </w:rPr>
        <w:t>Troškove poslovanja</w:t>
      </w:r>
    </w:p>
    <w:p w:rsidR="00EB0EA5" w:rsidRPr="0096002C" w:rsidRDefault="00EB0EA5" w:rsidP="00EB0EA5">
      <w:pPr>
        <w:pStyle w:val="Odlomakpopisa"/>
        <w:numPr>
          <w:ilvl w:val="0"/>
          <w:numId w:val="31"/>
        </w:numPr>
        <w:jc w:val="both"/>
        <w:rPr>
          <w:rFonts w:ascii="Times New Roman" w:hAnsi="Times New Roman"/>
          <w:sz w:val="24"/>
          <w:szCs w:val="24"/>
        </w:rPr>
      </w:pPr>
      <w:r w:rsidRPr="0096002C">
        <w:rPr>
          <w:rFonts w:ascii="Times New Roman" w:hAnsi="Times New Roman"/>
          <w:sz w:val="24"/>
          <w:szCs w:val="24"/>
        </w:rPr>
        <w:t>Kapitalna ulaganja</w:t>
      </w:r>
    </w:p>
    <w:p w:rsidR="00EB0EA5" w:rsidRDefault="00EB0EA5" w:rsidP="00EB0EA5">
      <w:pPr>
        <w:jc w:val="both"/>
      </w:pPr>
      <w:r w:rsidRPr="0096002C">
        <w:t xml:space="preserve">U razdoblju 2025. – 2027. očekuje se ostvarenje sljedećeg: </w:t>
      </w:r>
      <w:r w:rsidR="00392161">
        <w:t>r</w:t>
      </w:r>
      <w:r w:rsidRPr="0096002C">
        <w:t>edovna isplata plaća i materijalnih prava zaposlenika, podmirenje osnovnih materijalnih rashoda odnosno režijskih troškova kao i napredak znanstvene djelatnosti zaposlenika (napredovanja, konferencije, objava članaka i slično). Ujedno se očekuje i nabava kapitalne opreme za unapređenje nastavne i znanstvene djelatnosti Fakulteta.</w:t>
      </w:r>
    </w:p>
    <w:p w:rsidR="00392161" w:rsidRPr="0096002C" w:rsidRDefault="00392161" w:rsidP="00EB0EA5">
      <w:pPr>
        <w:jc w:val="both"/>
      </w:pPr>
    </w:p>
    <w:p w:rsidR="00EB0EA5" w:rsidRPr="0096002C" w:rsidRDefault="00EB0EA5" w:rsidP="00EB0EA5">
      <w:pPr>
        <w:jc w:val="both"/>
        <w:rPr>
          <w:lang w:eastAsia="en-GB"/>
        </w:rPr>
      </w:pPr>
      <w:r w:rsidRPr="0096002C">
        <w:rPr>
          <w:lang w:eastAsia="en-GB"/>
        </w:rPr>
        <w:t>Aktivnost redovne djelatnosti (izvor 31) planira se za 2025. godinu na razini od 300.000 €. Projekcija plana za 2026. godinu planirana je na razini od 325.000 € što je povećanje od 8,3% u odnosu na plan za 2025. dok je projekcija plana za 2027. godinu na razini plana za 2026. godinu. Na planiranje aktivnosti iz vlastitih izvora najviše je utjecala procjena troškova do kraja 2024. godine, pa je sukladno tome pripremljeni plan za 2025. godinu.</w:t>
      </w:r>
    </w:p>
    <w:p w:rsidR="00EB0EA5" w:rsidRDefault="00EB0EA5" w:rsidP="00EB0EA5">
      <w:pPr>
        <w:jc w:val="both"/>
        <w:rPr>
          <w:lang w:eastAsia="en-GB"/>
        </w:rPr>
      </w:pPr>
      <w:r w:rsidRPr="004F052B">
        <w:rPr>
          <w:color w:val="000000"/>
          <w:lang w:eastAsia="en-GB"/>
        </w:rPr>
        <w:t xml:space="preserve">U planu za 2025. godinu za </w:t>
      </w:r>
      <w:r w:rsidR="00392161">
        <w:rPr>
          <w:color w:val="000000"/>
          <w:lang w:eastAsia="en-GB"/>
        </w:rPr>
        <w:t xml:space="preserve">redovnu </w:t>
      </w:r>
      <w:r w:rsidRPr="004F052B">
        <w:rPr>
          <w:color w:val="000000"/>
          <w:lang w:eastAsia="en-GB"/>
        </w:rPr>
        <w:t>aktivnost</w:t>
      </w:r>
      <w:r w:rsidR="00392161">
        <w:rPr>
          <w:color w:val="000000"/>
          <w:lang w:eastAsia="en-GB"/>
        </w:rPr>
        <w:t xml:space="preserve"> </w:t>
      </w:r>
      <w:r w:rsidRPr="004F052B">
        <w:rPr>
          <w:color w:val="000000"/>
          <w:lang w:eastAsia="en-GB"/>
        </w:rPr>
        <w:t>financiranu iz izvora 31 najviše se planira rashoda za službena putovanja (</w:t>
      </w:r>
      <w:r w:rsidR="00692384">
        <w:rPr>
          <w:color w:val="000000"/>
          <w:lang w:eastAsia="en-GB"/>
        </w:rPr>
        <w:t>60</w:t>
      </w:r>
      <w:r w:rsidRPr="004F052B">
        <w:rPr>
          <w:color w:val="000000"/>
          <w:lang w:eastAsia="en-GB"/>
        </w:rPr>
        <w:t xml:space="preserve">.000 </w:t>
      </w:r>
      <w:r w:rsidRPr="004F052B">
        <w:rPr>
          <w:lang w:eastAsia="en-GB"/>
        </w:rPr>
        <w:t>€)</w:t>
      </w:r>
      <w:r w:rsidRPr="004F052B">
        <w:rPr>
          <w:color w:val="000000"/>
          <w:lang w:eastAsia="en-GB"/>
        </w:rPr>
        <w:t>, plaće</w:t>
      </w:r>
      <w:r w:rsidR="00392161">
        <w:rPr>
          <w:color w:val="000000"/>
          <w:lang w:eastAsia="en-GB"/>
        </w:rPr>
        <w:t xml:space="preserve"> i prijevoz</w:t>
      </w:r>
      <w:r w:rsidRPr="004F052B">
        <w:rPr>
          <w:color w:val="000000"/>
          <w:lang w:eastAsia="en-GB"/>
        </w:rPr>
        <w:t xml:space="preserve"> zaposlenika (</w:t>
      </w:r>
      <w:r w:rsidR="00392161">
        <w:rPr>
          <w:color w:val="000000"/>
          <w:lang w:eastAsia="en-GB"/>
        </w:rPr>
        <w:t>51</w:t>
      </w:r>
      <w:r w:rsidRPr="004F052B">
        <w:rPr>
          <w:color w:val="000000"/>
          <w:lang w:eastAsia="en-GB"/>
        </w:rPr>
        <w:t xml:space="preserve">.950 </w:t>
      </w:r>
      <w:r w:rsidRPr="004F052B">
        <w:rPr>
          <w:lang w:eastAsia="en-GB"/>
        </w:rPr>
        <w:t>€)</w:t>
      </w:r>
      <w:r w:rsidR="00392161">
        <w:rPr>
          <w:lang w:eastAsia="en-GB"/>
        </w:rPr>
        <w:t>,</w:t>
      </w:r>
      <w:r w:rsidRPr="004F052B">
        <w:rPr>
          <w:color w:val="000000"/>
          <w:lang w:eastAsia="en-GB"/>
        </w:rPr>
        <w:t xml:space="preserve"> intelektualne </w:t>
      </w:r>
      <w:r w:rsidRPr="004F052B">
        <w:rPr>
          <w:color w:val="000000"/>
          <w:lang w:eastAsia="en-GB"/>
        </w:rPr>
        <w:lastRenderedPageBreak/>
        <w:t xml:space="preserve">i osobne usluge (20.000 </w:t>
      </w:r>
      <w:r w:rsidRPr="004F052B">
        <w:rPr>
          <w:lang w:eastAsia="en-GB"/>
        </w:rPr>
        <w:t>€)</w:t>
      </w:r>
      <w:r w:rsidRPr="004F052B">
        <w:rPr>
          <w:color w:val="000000"/>
          <w:lang w:eastAsia="en-GB"/>
        </w:rPr>
        <w:t>, reprezentaciju (</w:t>
      </w:r>
      <w:r w:rsidR="00692384">
        <w:rPr>
          <w:color w:val="000000"/>
          <w:lang w:eastAsia="en-GB"/>
        </w:rPr>
        <w:t>20</w:t>
      </w:r>
      <w:r w:rsidRPr="004F052B">
        <w:rPr>
          <w:color w:val="000000"/>
          <w:lang w:eastAsia="en-GB"/>
        </w:rPr>
        <w:t xml:space="preserve">.000 </w:t>
      </w:r>
      <w:r w:rsidRPr="004F052B">
        <w:rPr>
          <w:lang w:eastAsia="en-GB"/>
        </w:rPr>
        <w:t>€)</w:t>
      </w:r>
      <w:r w:rsidRPr="004F052B">
        <w:rPr>
          <w:color w:val="000000"/>
          <w:lang w:eastAsia="en-GB"/>
        </w:rPr>
        <w:t xml:space="preserve"> te nabavu u opreme (67.000</w:t>
      </w:r>
      <w:r w:rsidRPr="004F052B">
        <w:rPr>
          <w:lang w:eastAsia="en-GB"/>
        </w:rPr>
        <w:t>€)</w:t>
      </w:r>
      <w:r w:rsidRPr="004F052B">
        <w:rPr>
          <w:color w:val="000000"/>
          <w:lang w:eastAsia="en-GB"/>
        </w:rPr>
        <w:t xml:space="preserve">. </w:t>
      </w:r>
      <w:r w:rsidRPr="004F052B">
        <w:rPr>
          <w:lang w:eastAsia="en-GB"/>
        </w:rPr>
        <w:t>Isti trend prenesen je i na projekcije plana za 2025. godinu te 2026. godinu.</w:t>
      </w:r>
    </w:p>
    <w:p w:rsidR="00392161" w:rsidRPr="004F052B" w:rsidRDefault="00392161" w:rsidP="00EB0EA5">
      <w:pPr>
        <w:jc w:val="both"/>
        <w:rPr>
          <w:lang w:eastAsia="en-GB"/>
        </w:rPr>
      </w:pPr>
    </w:p>
    <w:p w:rsidR="00EB0EA5" w:rsidRPr="004F052B" w:rsidRDefault="00EB0EA5" w:rsidP="00EB0EA5">
      <w:pPr>
        <w:jc w:val="both"/>
        <w:rPr>
          <w:sz w:val="20"/>
          <w:lang w:eastAsia="en-GB"/>
        </w:rPr>
      </w:pPr>
      <w:r w:rsidRPr="004F052B">
        <w:rPr>
          <w:lang w:eastAsia="en-GB"/>
        </w:rPr>
        <w:t xml:space="preserve">Aktivnost redovne djelatnosti (izvor 43) planira se za 2025. godinu na razini od 70.000 €. Projekcija plana za 2026. godinu planirana je na razini od 85.000 € što je povećanje od 21,4% u odnosu na plan za 2025. godinu dok je projekcija plana za 2027. godinu na razini plana za 2026. godinu. Na planiranje aktivnosti iz </w:t>
      </w:r>
      <w:r w:rsidR="00392161">
        <w:rPr>
          <w:lang w:eastAsia="en-GB"/>
        </w:rPr>
        <w:t>namjenskih prihoda</w:t>
      </w:r>
      <w:r w:rsidRPr="004F052B">
        <w:rPr>
          <w:lang w:eastAsia="en-GB"/>
        </w:rPr>
        <w:t xml:space="preserve"> najviše je utjecala procjena troškova do kraja 2024. godine, pa je sukladno tome pripremljeni plan za 2025. godinu.</w:t>
      </w:r>
    </w:p>
    <w:p w:rsidR="00EB0EA5" w:rsidRPr="004F052B" w:rsidRDefault="00EB0EA5" w:rsidP="00EB0EA5">
      <w:pPr>
        <w:jc w:val="both"/>
        <w:rPr>
          <w:lang w:eastAsia="en-GB"/>
        </w:rPr>
      </w:pPr>
      <w:r w:rsidRPr="004F052B">
        <w:rPr>
          <w:lang w:eastAsia="en-GB"/>
        </w:rPr>
        <w:t xml:space="preserve">U planu za 2025. godinu za </w:t>
      </w:r>
      <w:r w:rsidR="00392161">
        <w:rPr>
          <w:lang w:eastAsia="en-GB"/>
        </w:rPr>
        <w:t xml:space="preserve">redovnu </w:t>
      </w:r>
      <w:r w:rsidRPr="004F052B">
        <w:rPr>
          <w:lang w:eastAsia="en-GB"/>
        </w:rPr>
        <w:t>aktivnost</w:t>
      </w:r>
      <w:r w:rsidR="00392161">
        <w:rPr>
          <w:lang w:eastAsia="en-GB"/>
        </w:rPr>
        <w:t xml:space="preserve"> </w:t>
      </w:r>
      <w:r w:rsidRPr="004F052B">
        <w:rPr>
          <w:lang w:eastAsia="en-GB"/>
        </w:rPr>
        <w:t>financiranu iz izvora 43 najviše se planira rashoda za nabavu opreme (26.200 €)</w:t>
      </w:r>
      <w:r w:rsidR="00EA0302">
        <w:rPr>
          <w:lang w:eastAsia="en-GB"/>
        </w:rPr>
        <w:t>,</w:t>
      </w:r>
      <w:r w:rsidRPr="004F052B">
        <w:rPr>
          <w:lang w:eastAsia="en-GB"/>
        </w:rPr>
        <w:t xml:space="preserve"> plaće zaposlenika (33.300 €) i </w:t>
      </w:r>
      <w:r w:rsidR="00EA0302">
        <w:rPr>
          <w:lang w:eastAsia="en-GB"/>
        </w:rPr>
        <w:t>energente</w:t>
      </w:r>
      <w:r w:rsidRPr="004F052B">
        <w:rPr>
          <w:lang w:eastAsia="en-GB"/>
        </w:rPr>
        <w:t xml:space="preserve"> (10.500 €). Isti trend prenesen je i na projekcije plana za 2025. godinu te 2026. godinu.</w:t>
      </w:r>
    </w:p>
    <w:p w:rsidR="00EB0EA5" w:rsidRPr="004F052B" w:rsidRDefault="00EB0EA5" w:rsidP="00EB0EA5">
      <w:pPr>
        <w:jc w:val="both"/>
        <w:rPr>
          <w:lang w:eastAsia="en-GB"/>
        </w:rPr>
      </w:pPr>
    </w:p>
    <w:p w:rsidR="00EB0EA5" w:rsidRPr="004F052B" w:rsidRDefault="00EB0EA5" w:rsidP="00EB0EA5">
      <w:pPr>
        <w:jc w:val="both"/>
        <w:rPr>
          <w:lang w:eastAsia="en-GB"/>
        </w:rPr>
      </w:pPr>
      <w:r w:rsidRPr="004F052B">
        <w:rPr>
          <w:lang w:eastAsia="en-GB"/>
        </w:rPr>
        <w:t xml:space="preserve">Aktivnost redovne djelatnosti (izvor 52) vezana je uz financiranje znanstvene djelatnosti od strane Hrvatske zaklade za znanost. Ova aktivnost planira se za 2025. godinu na razini od 41.898 €. Projekcija plana za 2026. godinu planirana je na razini od 28.919 € dok je projekcija plana za 2027. godinu planirana na razini od 22.382 €, a sve sukladno dopisu Hrvatske zaklade za znanost o prijenosu sredstava između proračunskih korisnika istog proračuna. </w:t>
      </w:r>
    </w:p>
    <w:p w:rsidR="00EB0EA5" w:rsidRPr="004F052B" w:rsidRDefault="00EB0EA5" w:rsidP="00EB0EA5">
      <w:pPr>
        <w:jc w:val="both"/>
        <w:rPr>
          <w:lang w:eastAsia="en-GB"/>
        </w:rPr>
      </w:pPr>
      <w:r w:rsidRPr="004F052B">
        <w:rPr>
          <w:lang w:eastAsia="en-GB"/>
        </w:rPr>
        <w:t xml:space="preserve">U planu za 2025. godinu za </w:t>
      </w:r>
      <w:r w:rsidR="00392161">
        <w:rPr>
          <w:lang w:eastAsia="en-GB"/>
        </w:rPr>
        <w:t xml:space="preserve">redovnu </w:t>
      </w:r>
      <w:r w:rsidRPr="004F052B">
        <w:rPr>
          <w:lang w:eastAsia="en-GB"/>
        </w:rPr>
        <w:t>aktivnost financiranu iz izvora 52 najviše se planira rashoda za službena putovanja (19.688</w:t>
      </w:r>
      <w:r w:rsidR="00210B6B">
        <w:rPr>
          <w:lang w:eastAsia="en-GB"/>
        </w:rPr>
        <w:t xml:space="preserve"> </w:t>
      </w:r>
      <w:r w:rsidRPr="004F052B">
        <w:rPr>
          <w:lang w:eastAsia="en-GB"/>
        </w:rPr>
        <w:t>€), nabavu opreme (7.963 €) te stručno usavršavanje zaposlenika (9.856 €)</w:t>
      </w:r>
      <w:r w:rsidR="00A07EA4">
        <w:rPr>
          <w:lang w:eastAsia="en-GB"/>
        </w:rPr>
        <w:t>.</w:t>
      </w:r>
      <w:r w:rsidRPr="004F052B">
        <w:rPr>
          <w:lang w:eastAsia="en-GB"/>
        </w:rPr>
        <w:t xml:space="preserve"> Ostala sredstva utrošit će se na ostale materijalne rashode (reprezentacija, publikacija i sl.). Projekt završava 2027. godine pa su projekcije plana za 2026. i 2027. manje u odnosu na 2025. godinu. </w:t>
      </w:r>
    </w:p>
    <w:p w:rsidR="00EB0EA5" w:rsidRPr="004F052B" w:rsidRDefault="00EB0EA5" w:rsidP="00EB0EA5">
      <w:pPr>
        <w:jc w:val="both"/>
        <w:rPr>
          <w:lang w:eastAsia="en-GB"/>
        </w:rPr>
      </w:pPr>
    </w:p>
    <w:p w:rsidR="00EB0EA5" w:rsidRPr="004F052B" w:rsidRDefault="00EB0EA5" w:rsidP="00EB0EA5">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4D150A">
        <w:rPr>
          <w:b/>
          <w:sz w:val="26"/>
          <w:szCs w:val="26"/>
        </w:rPr>
        <w:t>A679078 EU projekti Sveučilišta u Zagrebu (iz evidencijskih prihoda</w:t>
      </w:r>
      <w:r w:rsidRPr="004F052B">
        <w:rPr>
          <w:b/>
          <w:sz w:val="28"/>
        </w:rPr>
        <w:t>)</w:t>
      </w:r>
    </w:p>
    <w:p w:rsidR="0096002C" w:rsidRDefault="0096002C" w:rsidP="00EB0EA5">
      <w:pPr>
        <w:jc w:val="both"/>
      </w:pPr>
      <w:bookmarkStart w:id="4" w:name="_Hlk115436226"/>
    </w:p>
    <w:p w:rsidR="00EB0EA5" w:rsidRPr="0096002C" w:rsidRDefault="00EB0EA5" w:rsidP="00EB0EA5">
      <w:pPr>
        <w:jc w:val="both"/>
      </w:pPr>
      <w:r w:rsidRPr="0096002C">
        <w:t>Zakonske i druge pravne osnove</w:t>
      </w:r>
    </w:p>
    <w:p w:rsidR="00EB0EA5" w:rsidRPr="0096002C" w:rsidRDefault="00EB0EA5" w:rsidP="00EB0EA5">
      <w:pPr>
        <w:pStyle w:val="Odlomakpopisa"/>
        <w:numPr>
          <w:ilvl w:val="0"/>
          <w:numId w:val="30"/>
        </w:numPr>
        <w:spacing w:after="0"/>
        <w:jc w:val="both"/>
        <w:rPr>
          <w:rFonts w:ascii="Times New Roman" w:hAnsi="Times New Roman"/>
          <w:sz w:val="24"/>
          <w:szCs w:val="24"/>
        </w:rPr>
      </w:pPr>
      <w:r w:rsidRPr="0096002C">
        <w:rPr>
          <w:rFonts w:ascii="Times New Roman" w:hAnsi="Times New Roman"/>
          <w:sz w:val="24"/>
          <w:szCs w:val="24"/>
        </w:rPr>
        <w:t>Zakon o znanstvenoj djelatnosti i visokom obrazovanju</w:t>
      </w:r>
    </w:p>
    <w:p w:rsidR="00EB0EA5" w:rsidRPr="0096002C" w:rsidRDefault="00EB0EA5" w:rsidP="00EB0EA5">
      <w:pPr>
        <w:pStyle w:val="Odlomakpopisa"/>
        <w:numPr>
          <w:ilvl w:val="0"/>
          <w:numId w:val="30"/>
        </w:numPr>
        <w:spacing w:after="0"/>
        <w:jc w:val="both"/>
        <w:rPr>
          <w:rFonts w:ascii="Times New Roman" w:hAnsi="Times New Roman"/>
          <w:sz w:val="24"/>
          <w:szCs w:val="24"/>
        </w:rPr>
      </w:pPr>
      <w:r w:rsidRPr="0096002C">
        <w:rPr>
          <w:rFonts w:ascii="Times New Roman" w:hAnsi="Times New Roman"/>
          <w:sz w:val="24"/>
          <w:szCs w:val="24"/>
        </w:rPr>
        <w:t xml:space="preserve">Uredba o nazivima radnih mjesta i koeficijentima složenosti poslova u javnim službama  </w:t>
      </w:r>
    </w:p>
    <w:p w:rsidR="00EB0EA5" w:rsidRPr="0096002C" w:rsidRDefault="00EB0EA5" w:rsidP="00EB0EA5">
      <w:pPr>
        <w:pStyle w:val="Odlomakpopisa"/>
        <w:numPr>
          <w:ilvl w:val="0"/>
          <w:numId w:val="28"/>
        </w:numPr>
        <w:jc w:val="both"/>
        <w:rPr>
          <w:rFonts w:ascii="Times New Roman" w:hAnsi="Times New Roman"/>
          <w:sz w:val="24"/>
          <w:szCs w:val="24"/>
        </w:rPr>
      </w:pPr>
      <w:r w:rsidRPr="0096002C">
        <w:rPr>
          <w:rFonts w:ascii="Times New Roman" w:hAnsi="Times New Roman"/>
          <w:sz w:val="24"/>
          <w:szCs w:val="24"/>
        </w:rPr>
        <w:t>Temeljni kolektivni ugovor za službenike i namještenike u javnim službama</w:t>
      </w:r>
    </w:p>
    <w:tbl>
      <w:tblPr>
        <w:tblStyle w:val="Reetkatablice"/>
        <w:tblW w:w="9067" w:type="dxa"/>
        <w:tblLook w:val="04A0" w:firstRow="1" w:lastRow="0" w:firstColumn="1" w:lastColumn="0" w:noHBand="0" w:noVBand="1"/>
      </w:tblPr>
      <w:tblGrid>
        <w:gridCol w:w="3027"/>
        <w:gridCol w:w="1131"/>
        <w:gridCol w:w="1236"/>
        <w:gridCol w:w="1264"/>
        <w:gridCol w:w="1219"/>
        <w:gridCol w:w="1190"/>
      </w:tblGrid>
      <w:tr w:rsidR="00EB0EA5" w:rsidRPr="004F052B" w:rsidTr="0072628C">
        <w:tc>
          <w:tcPr>
            <w:tcW w:w="3027" w:type="dxa"/>
            <w:shd w:val="clear" w:color="auto" w:fill="D0CECE" w:themeFill="background2" w:themeFillShade="E6"/>
          </w:tcPr>
          <w:p w:rsidR="00EB0EA5" w:rsidRPr="004F052B" w:rsidRDefault="00EB0EA5" w:rsidP="002F5482">
            <w:pPr>
              <w:jc w:val="both"/>
            </w:pPr>
          </w:p>
          <w:p w:rsidR="00EB0EA5" w:rsidRPr="004F052B" w:rsidRDefault="00EB0EA5" w:rsidP="002F5482">
            <w:pPr>
              <w:jc w:val="both"/>
            </w:pPr>
          </w:p>
        </w:tc>
        <w:tc>
          <w:tcPr>
            <w:tcW w:w="1131" w:type="dxa"/>
            <w:shd w:val="clear" w:color="auto" w:fill="D0CECE" w:themeFill="background2" w:themeFillShade="E6"/>
            <w:vAlign w:val="center"/>
          </w:tcPr>
          <w:p w:rsidR="00EB0EA5" w:rsidRPr="004F052B" w:rsidRDefault="00EB0EA5" w:rsidP="002F5482">
            <w:pPr>
              <w:jc w:val="center"/>
            </w:pPr>
            <w:r w:rsidRPr="004F052B">
              <w:t>Izvršenje 2023.</w:t>
            </w:r>
          </w:p>
        </w:tc>
        <w:tc>
          <w:tcPr>
            <w:tcW w:w="1236" w:type="dxa"/>
            <w:shd w:val="clear" w:color="auto" w:fill="D0CECE" w:themeFill="background2" w:themeFillShade="E6"/>
            <w:vAlign w:val="center"/>
          </w:tcPr>
          <w:p w:rsidR="00EB0EA5" w:rsidRPr="004F052B" w:rsidRDefault="00EB0EA5" w:rsidP="002F5482">
            <w:pPr>
              <w:jc w:val="center"/>
            </w:pPr>
            <w:r w:rsidRPr="004F052B">
              <w:t>Tekući plan 2024.</w:t>
            </w:r>
          </w:p>
        </w:tc>
        <w:tc>
          <w:tcPr>
            <w:tcW w:w="1264" w:type="dxa"/>
            <w:shd w:val="clear" w:color="auto" w:fill="D0CECE" w:themeFill="background2" w:themeFillShade="E6"/>
            <w:vAlign w:val="center"/>
          </w:tcPr>
          <w:p w:rsidR="00EB0EA5" w:rsidRPr="004F052B" w:rsidRDefault="00EB0EA5" w:rsidP="002F5482">
            <w:pPr>
              <w:jc w:val="center"/>
            </w:pPr>
            <w:r w:rsidRPr="004F052B">
              <w:t>Plan 2025.</w:t>
            </w:r>
          </w:p>
        </w:tc>
        <w:tc>
          <w:tcPr>
            <w:tcW w:w="1219" w:type="dxa"/>
            <w:shd w:val="clear" w:color="auto" w:fill="D0CECE" w:themeFill="background2" w:themeFillShade="E6"/>
            <w:vAlign w:val="center"/>
          </w:tcPr>
          <w:p w:rsidR="00EB0EA5" w:rsidRPr="004F052B" w:rsidRDefault="00EB0EA5" w:rsidP="002F5482">
            <w:pPr>
              <w:jc w:val="center"/>
            </w:pPr>
            <w:r w:rsidRPr="004F052B">
              <w:t>Projekcija 2026.</w:t>
            </w:r>
          </w:p>
        </w:tc>
        <w:tc>
          <w:tcPr>
            <w:tcW w:w="1190" w:type="dxa"/>
            <w:shd w:val="clear" w:color="auto" w:fill="D0CECE" w:themeFill="background2" w:themeFillShade="E6"/>
            <w:vAlign w:val="center"/>
          </w:tcPr>
          <w:p w:rsidR="00EB0EA5" w:rsidRPr="004F052B" w:rsidRDefault="00EB0EA5" w:rsidP="002F5482">
            <w:pPr>
              <w:jc w:val="center"/>
            </w:pPr>
            <w:r w:rsidRPr="004F052B">
              <w:t>Projekcija 2027.</w:t>
            </w:r>
          </w:p>
        </w:tc>
      </w:tr>
      <w:tr w:rsidR="00EB0EA5" w:rsidRPr="004F052B" w:rsidTr="0072628C">
        <w:tc>
          <w:tcPr>
            <w:tcW w:w="3027" w:type="dxa"/>
          </w:tcPr>
          <w:p w:rsidR="00EB0EA5" w:rsidRPr="004F052B" w:rsidRDefault="00EB0EA5" w:rsidP="002F5482">
            <w:r w:rsidRPr="004F052B">
              <w:t>Pomoći EU (51)</w:t>
            </w:r>
          </w:p>
        </w:tc>
        <w:tc>
          <w:tcPr>
            <w:tcW w:w="1131" w:type="dxa"/>
          </w:tcPr>
          <w:p w:rsidR="00EB0EA5" w:rsidRPr="004F052B" w:rsidRDefault="00EB0EA5" w:rsidP="002F5482">
            <w:pPr>
              <w:jc w:val="right"/>
            </w:pPr>
            <w:r w:rsidRPr="004F052B">
              <w:t>0</w:t>
            </w:r>
          </w:p>
        </w:tc>
        <w:tc>
          <w:tcPr>
            <w:tcW w:w="1236" w:type="dxa"/>
          </w:tcPr>
          <w:p w:rsidR="00EB0EA5" w:rsidRPr="004F052B" w:rsidRDefault="00EB0EA5" w:rsidP="002F5482">
            <w:pPr>
              <w:jc w:val="right"/>
            </w:pPr>
            <w:r w:rsidRPr="004F052B">
              <w:t>0</w:t>
            </w:r>
          </w:p>
        </w:tc>
        <w:tc>
          <w:tcPr>
            <w:tcW w:w="1264" w:type="dxa"/>
          </w:tcPr>
          <w:p w:rsidR="00EB0EA5" w:rsidRPr="004F052B" w:rsidRDefault="00EB0EA5" w:rsidP="002F5482">
            <w:pPr>
              <w:jc w:val="right"/>
            </w:pPr>
            <w:r w:rsidRPr="004F052B">
              <w:t>54.347</w:t>
            </w:r>
          </w:p>
        </w:tc>
        <w:tc>
          <w:tcPr>
            <w:tcW w:w="1219" w:type="dxa"/>
          </w:tcPr>
          <w:p w:rsidR="00EB0EA5" w:rsidRPr="004F052B" w:rsidRDefault="00EB0EA5" w:rsidP="002F5482">
            <w:pPr>
              <w:jc w:val="right"/>
            </w:pPr>
            <w:r w:rsidRPr="004F052B">
              <w:t>13.692</w:t>
            </w:r>
          </w:p>
        </w:tc>
        <w:tc>
          <w:tcPr>
            <w:tcW w:w="1190" w:type="dxa"/>
          </w:tcPr>
          <w:p w:rsidR="00EB0EA5" w:rsidRPr="004F052B" w:rsidRDefault="00EB0EA5" w:rsidP="002F5482">
            <w:pPr>
              <w:jc w:val="right"/>
            </w:pPr>
            <w:r w:rsidRPr="004F052B">
              <w:t>0</w:t>
            </w:r>
          </w:p>
        </w:tc>
      </w:tr>
    </w:tbl>
    <w:p w:rsidR="00EB0EA5" w:rsidRPr="004F052B" w:rsidRDefault="00EB0EA5" w:rsidP="00EB0EA5">
      <w:pPr>
        <w:jc w:val="both"/>
        <w:rPr>
          <w:color w:val="000000"/>
          <w:lang w:eastAsia="en-GB"/>
        </w:rPr>
      </w:pPr>
    </w:p>
    <w:p w:rsidR="00EB0EA5" w:rsidRPr="004F052B" w:rsidRDefault="00EB0EA5" w:rsidP="00EB0EA5">
      <w:pPr>
        <w:jc w:val="both"/>
        <w:rPr>
          <w:color w:val="000000"/>
          <w:lang w:eastAsia="en-GB"/>
        </w:rPr>
      </w:pPr>
      <w:r w:rsidRPr="004F052B">
        <w:rPr>
          <w:color w:val="000000"/>
          <w:lang w:eastAsia="en-GB"/>
        </w:rPr>
        <w:t>Na izvoru 51</w:t>
      </w:r>
      <w:r w:rsidR="00A07EA4">
        <w:rPr>
          <w:color w:val="000000"/>
          <w:lang w:eastAsia="en-GB"/>
        </w:rPr>
        <w:t>,</w:t>
      </w:r>
      <w:r w:rsidRPr="004F052B">
        <w:rPr>
          <w:color w:val="000000"/>
          <w:lang w:eastAsia="en-GB"/>
        </w:rPr>
        <w:t xml:space="preserve"> aktivnosti</w:t>
      </w:r>
      <w:r w:rsidR="00A07EA4">
        <w:rPr>
          <w:color w:val="000000"/>
          <w:lang w:eastAsia="en-GB"/>
        </w:rPr>
        <w:t xml:space="preserve"> A679078</w:t>
      </w:r>
      <w:r w:rsidRPr="004F052B">
        <w:rPr>
          <w:color w:val="000000"/>
          <w:lang w:eastAsia="en-GB"/>
        </w:rPr>
        <w:t xml:space="preserve"> EU projekti Sveučilišta u Zagrebu</w:t>
      </w:r>
      <w:r w:rsidR="00A07EA4">
        <w:rPr>
          <w:color w:val="000000"/>
          <w:lang w:eastAsia="en-GB"/>
        </w:rPr>
        <w:t>,</w:t>
      </w:r>
      <w:r w:rsidRPr="004F052B">
        <w:rPr>
          <w:color w:val="000000"/>
          <w:lang w:eastAsia="en-GB"/>
        </w:rPr>
        <w:t xml:space="preserve"> planirano je za 2025. godinu ukupno 54.347 €, za 2026. godinu 13.692 €. Budući da projekt završava tijekom 2026. godine za 2027. nisu planirana sredstva.</w:t>
      </w:r>
      <w:r w:rsidR="004D150A">
        <w:rPr>
          <w:color w:val="000000"/>
          <w:lang w:eastAsia="en-GB"/>
        </w:rPr>
        <w:t xml:space="preserve"> </w:t>
      </w:r>
      <w:r w:rsidRPr="004F052B">
        <w:rPr>
          <w:color w:val="000000"/>
          <w:lang w:eastAsia="en-GB"/>
        </w:rPr>
        <w:t>Plan za projekt je planirani prema dostavljenim podacima administratora projekta o planiranim prihodima i troškovima.</w:t>
      </w:r>
    </w:p>
    <w:bookmarkEnd w:id="4"/>
    <w:p w:rsidR="00EB0EA5" w:rsidRPr="004F052B" w:rsidRDefault="00EB0EA5" w:rsidP="00EB0EA5">
      <w:pPr>
        <w:jc w:val="both"/>
      </w:pPr>
    </w:p>
    <w:p w:rsidR="00EB0EA5" w:rsidRPr="004F052B" w:rsidRDefault="00EB0EA5" w:rsidP="00EB0EA5">
      <w:pPr>
        <w:jc w:val="both"/>
      </w:pPr>
    </w:p>
    <w:p w:rsidR="00EB0EA5" w:rsidRPr="004F052B" w:rsidRDefault="00EB0EA5" w:rsidP="00EB0EA5">
      <w:r w:rsidRPr="004F052B">
        <w:t>Voditeljica računovodstva:</w:t>
      </w:r>
      <w:r w:rsidRPr="004F052B">
        <w:tab/>
      </w:r>
      <w:r w:rsidRPr="004F052B">
        <w:tab/>
      </w:r>
    </w:p>
    <w:p w:rsidR="00EB0EA5" w:rsidRPr="004F052B" w:rsidRDefault="00EB0EA5" w:rsidP="00EB0EA5">
      <w:r w:rsidRPr="004F052B">
        <w:t xml:space="preserve">   Maja Krivak, </w:t>
      </w:r>
      <w:proofErr w:type="spellStart"/>
      <w:r w:rsidRPr="004F052B">
        <w:t>mag</w:t>
      </w:r>
      <w:proofErr w:type="spellEnd"/>
      <w:r w:rsidRPr="004F052B">
        <w:t xml:space="preserve">. </w:t>
      </w:r>
      <w:proofErr w:type="spellStart"/>
      <w:r w:rsidRPr="004F052B">
        <w:t>oec</w:t>
      </w:r>
      <w:proofErr w:type="spellEnd"/>
      <w:r w:rsidRPr="004F052B">
        <w:t>.</w:t>
      </w:r>
    </w:p>
    <w:p w:rsidR="00EB0EA5" w:rsidRPr="004F052B" w:rsidRDefault="00EB0EA5" w:rsidP="00EB0EA5">
      <w:pPr>
        <w:ind w:left="7080" w:firstLine="708"/>
      </w:pPr>
    </w:p>
    <w:p w:rsidR="00EB0EA5" w:rsidRPr="004F052B" w:rsidRDefault="001055DB" w:rsidP="001055DB">
      <w:pPr>
        <w:ind w:left="6372"/>
      </w:pPr>
      <w:r>
        <w:t xml:space="preserve">     </w:t>
      </w:r>
      <w:r w:rsidR="00EB0EA5" w:rsidRPr="004F052B">
        <w:t>Dekanica:</w:t>
      </w:r>
    </w:p>
    <w:p w:rsidR="00EB0EA5" w:rsidRPr="004F052B" w:rsidRDefault="00EB0EA5" w:rsidP="001055DB">
      <w:pPr>
        <w:spacing w:after="240" w:line="276" w:lineRule="auto"/>
        <w:ind w:left="5666"/>
        <w:jc w:val="both"/>
        <w:rPr>
          <w:bCs/>
        </w:rPr>
      </w:pPr>
      <w:r w:rsidRPr="004F052B">
        <w:t>izv.prof.dr.sc. Ivana Grčić</w:t>
      </w:r>
      <w:r w:rsidR="004254F3">
        <w:t>, v.r.</w:t>
      </w:r>
    </w:p>
    <w:p w:rsidR="009B1240" w:rsidRPr="004F052B" w:rsidRDefault="009B1240" w:rsidP="00945EF4">
      <w:pPr>
        <w:spacing w:after="240" w:line="276" w:lineRule="auto"/>
        <w:ind w:left="1418"/>
        <w:jc w:val="both"/>
        <w:rPr>
          <w:bCs/>
          <w:sz w:val="22"/>
          <w:szCs w:val="22"/>
        </w:rPr>
      </w:pPr>
    </w:p>
    <w:sectPr w:rsidR="009B1240" w:rsidRPr="004F052B" w:rsidSect="00EB0EA5">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11B" w:rsidRDefault="00FC211B" w:rsidP="00D30D89">
      <w:r>
        <w:separator/>
      </w:r>
    </w:p>
  </w:endnote>
  <w:endnote w:type="continuationSeparator" w:id="0">
    <w:p w:rsidR="00FC211B" w:rsidRDefault="00FC211B" w:rsidP="00D3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niZgLight">
    <w:panose1 w:val="02000503000000020003"/>
    <w:charset w:val="00"/>
    <w:family w:val="modern"/>
    <w:notTrueType/>
    <w:pitch w:val="variable"/>
    <w:sig w:usb0="8000002F" w:usb1="5000204B" w:usb2="00000000" w:usb3="00000000" w:csb0="00000083"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UnizgDisplay Normal">
    <w:panose1 w:val="02000505080000020003"/>
    <w:charset w:val="00"/>
    <w:family w:val="modern"/>
    <w:notTrueType/>
    <w:pitch w:val="variable"/>
    <w:sig w:usb0="A000002F" w:usb1="5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DBD" w:rsidRDefault="00273DB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DB" w:rsidRPr="00211EF6" w:rsidRDefault="0093705A" w:rsidP="00211EF6">
    <w:pPr>
      <w:pStyle w:val="Podnoje"/>
      <w:jc w:val="right"/>
      <w:rPr>
        <w:rFonts w:asciiTheme="majorHAnsi" w:hAnsiTheme="majorHAnsi" w:cstheme="majorHAnsi"/>
        <w:b/>
        <w:bCs/>
        <w:sz w:val="22"/>
        <w:szCs w:val="22"/>
      </w:rPr>
    </w:pPr>
    <w:r w:rsidRPr="00211EF6">
      <w:rPr>
        <w:rFonts w:asciiTheme="majorHAnsi" w:hAnsiTheme="majorHAnsi" w:cstheme="majorHAnsi"/>
        <w:b/>
        <w:bCs/>
        <w:sz w:val="22"/>
        <w:szCs w:val="22"/>
      </w:rPr>
      <w:fldChar w:fldCharType="begin"/>
    </w:r>
    <w:r w:rsidRPr="00211EF6">
      <w:rPr>
        <w:rFonts w:asciiTheme="majorHAnsi" w:hAnsiTheme="majorHAnsi" w:cstheme="majorHAnsi"/>
        <w:b/>
        <w:bCs/>
        <w:sz w:val="22"/>
        <w:szCs w:val="22"/>
      </w:rPr>
      <w:instrText xml:space="preserve"> PAGE   \* MERGEFORMAT </w:instrText>
    </w:r>
    <w:r w:rsidRPr="00211EF6">
      <w:rPr>
        <w:rFonts w:asciiTheme="majorHAnsi" w:hAnsiTheme="majorHAnsi" w:cstheme="majorHAnsi"/>
        <w:b/>
        <w:bCs/>
        <w:sz w:val="22"/>
        <w:szCs w:val="22"/>
      </w:rPr>
      <w:fldChar w:fldCharType="separate"/>
    </w:r>
    <w:r w:rsidR="002A3195" w:rsidRPr="00211EF6">
      <w:rPr>
        <w:rFonts w:asciiTheme="majorHAnsi" w:hAnsiTheme="majorHAnsi" w:cstheme="majorHAnsi"/>
        <w:b/>
        <w:bCs/>
        <w:noProof/>
        <w:sz w:val="22"/>
        <w:szCs w:val="22"/>
      </w:rPr>
      <w:t>7</w:t>
    </w:r>
    <w:r w:rsidRPr="00211EF6">
      <w:rPr>
        <w:rFonts w:asciiTheme="majorHAnsi" w:hAnsiTheme="majorHAnsi" w:cstheme="majorHAns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B4A" w:rsidRPr="00211EF6" w:rsidRDefault="00071B4A" w:rsidP="00071B4A">
    <w:pPr>
      <w:pStyle w:val="Podnoje"/>
      <w:tabs>
        <w:tab w:val="left" w:pos="708"/>
      </w:tabs>
      <w:rPr>
        <w:rFonts w:asciiTheme="majorHAnsi" w:hAnsiTheme="majorHAnsi" w:cs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11B" w:rsidRDefault="00FC211B" w:rsidP="00D30D89">
      <w:r>
        <w:separator/>
      </w:r>
    </w:p>
  </w:footnote>
  <w:footnote w:type="continuationSeparator" w:id="0">
    <w:p w:rsidR="00FC211B" w:rsidRDefault="00FC211B" w:rsidP="00D30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DBD" w:rsidRDefault="00273DB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tblLayout w:type="fixed"/>
      <w:tblLook w:val="04A0" w:firstRow="1" w:lastRow="0" w:firstColumn="1" w:lastColumn="0" w:noHBand="0" w:noVBand="1"/>
    </w:tblPr>
    <w:tblGrid>
      <w:gridCol w:w="3539"/>
      <w:gridCol w:w="4541"/>
      <w:gridCol w:w="2263"/>
    </w:tblGrid>
    <w:tr w:rsidR="00211EF6" w:rsidRPr="00142461" w:rsidTr="00211EF6">
      <w:trPr>
        <w:trHeight w:val="430"/>
      </w:trPr>
      <w:tc>
        <w:tcPr>
          <w:tcW w:w="3539" w:type="dxa"/>
          <w:vMerge w:val="restart"/>
          <w:shd w:val="clear" w:color="auto" w:fill="auto"/>
          <w:vAlign w:val="center"/>
        </w:tcPr>
        <w:p w:rsidR="00211EF6" w:rsidRPr="00340DB6" w:rsidRDefault="00211EF6" w:rsidP="00211EF6">
          <w:r>
            <w:rPr>
              <w:noProof/>
            </w:rPr>
            <w:drawing>
              <wp:inline distT="0" distB="0" distL="0" distR="0" wp14:anchorId="2146912B" wp14:editId="2B3BE7FA">
                <wp:extent cx="1092285" cy="648000"/>
                <wp:effectExtent l="0" t="0" r="0" b="0"/>
                <wp:docPr id="1770591220" name="Slika 3" descr="Slika na kojoj se prikazuje grafika, snimka zaslona, Font, grafički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42794" name="Slika 3" descr="Slika na kojoj se prikazuje grafika, snimka zaslona, Font, grafički dizajn&#10;&#10;Opis je automatski generiran"/>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092285" cy="648000"/>
                        </a:xfrm>
                        <a:prstGeom prst="rect">
                          <a:avLst/>
                        </a:prstGeom>
                        <a:noFill/>
                        <a:ln>
                          <a:noFill/>
                        </a:ln>
                      </pic:spPr>
                    </pic:pic>
                  </a:graphicData>
                </a:graphic>
              </wp:inline>
            </w:drawing>
          </w:r>
        </w:p>
      </w:tc>
      <w:tc>
        <w:tcPr>
          <w:tcW w:w="4541" w:type="dxa"/>
          <w:shd w:val="clear" w:color="auto" w:fill="auto"/>
          <w:vAlign w:val="center"/>
        </w:tcPr>
        <w:p w:rsidR="00211EF6" w:rsidRPr="007838DD" w:rsidRDefault="00211EF6" w:rsidP="00211EF6">
          <w:pPr>
            <w:pStyle w:val="Zaglavlje"/>
            <w:tabs>
              <w:tab w:val="clear" w:pos="4536"/>
              <w:tab w:val="clear" w:pos="9072"/>
            </w:tabs>
            <w:ind w:left="-106"/>
            <w:rPr>
              <w:rFonts w:asciiTheme="majorHAnsi" w:hAnsiTheme="majorHAnsi" w:cstheme="majorHAnsi"/>
              <w:b/>
              <w:bCs/>
              <w:sz w:val="26"/>
              <w:szCs w:val="26"/>
            </w:rPr>
          </w:pPr>
        </w:p>
      </w:tc>
      <w:tc>
        <w:tcPr>
          <w:tcW w:w="2263" w:type="dxa"/>
          <w:vMerge w:val="restart"/>
          <w:shd w:val="clear" w:color="auto" w:fill="auto"/>
          <w:vAlign w:val="center"/>
        </w:tcPr>
        <w:p w:rsidR="00211EF6" w:rsidRPr="00142461" w:rsidRDefault="00211EF6" w:rsidP="00211EF6">
          <w:pPr>
            <w:ind w:left="316" w:right="-109" w:hanging="316"/>
            <w:jc w:val="center"/>
            <w:rPr>
              <w:rFonts w:ascii="UnizgDisplay Normal" w:hAnsi="UnizgDisplay Normal"/>
              <w:sz w:val="19"/>
              <w:szCs w:val="19"/>
            </w:rPr>
          </w:pPr>
          <w:r>
            <w:rPr>
              <w:noProof/>
            </w:rPr>
            <w:drawing>
              <wp:inline distT="0" distB="0" distL="0" distR="0" wp14:anchorId="343F34FE" wp14:editId="77E0BF93">
                <wp:extent cx="1182625" cy="648000"/>
                <wp:effectExtent l="0" t="0" r="0" b="0"/>
                <wp:docPr id="403700580" name="Slika 403700580" descr="Slika na kojoj se prikazuje snimka zaslona, krug, grafika, svjet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00580" name="Slika 403700580" descr="Slika na kojoj se prikazuje snimka zaslona, krug, grafika, svjetlo&#10;&#10;Opis je automatski generiran"/>
                        <pic:cNvPicPr>
                          <a:picLocks noChangeAspect="1" noChangeArrowheads="1"/>
                        </pic:cNvPicPr>
                      </pic:nvPicPr>
                      <pic:blipFill rotWithShape="1">
                        <a:blip r:embed="rId2" cstate="hqprint">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a:ext>
                          </a:extLst>
                        </a:blip>
                        <a:srcRect r="-1"/>
                        <a:stretch/>
                      </pic:blipFill>
                      <pic:spPr bwMode="auto">
                        <a:xfrm>
                          <a:off x="0" y="0"/>
                          <a:ext cx="1182625" cy="64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1EF6" w:rsidRPr="00142461" w:rsidTr="00211EF6">
      <w:trPr>
        <w:trHeight w:val="316"/>
      </w:trPr>
      <w:tc>
        <w:tcPr>
          <w:tcW w:w="3539" w:type="dxa"/>
          <w:vMerge/>
          <w:shd w:val="clear" w:color="auto" w:fill="auto"/>
          <w:vAlign w:val="center"/>
        </w:tcPr>
        <w:p w:rsidR="00211EF6" w:rsidRDefault="00211EF6" w:rsidP="00211EF6">
          <w:pPr>
            <w:rPr>
              <w:noProof/>
            </w:rPr>
          </w:pPr>
        </w:p>
      </w:tc>
      <w:tc>
        <w:tcPr>
          <w:tcW w:w="4541" w:type="dxa"/>
          <w:shd w:val="clear" w:color="auto" w:fill="auto"/>
          <w:vAlign w:val="center"/>
        </w:tcPr>
        <w:p w:rsidR="00211EF6" w:rsidRPr="007838DD" w:rsidRDefault="00211EF6" w:rsidP="00211EF6">
          <w:pPr>
            <w:pStyle w:val="Zaglavlje"/>
            <w:tabs>
              <w:tab w:val="clear" w:pos="4536"/>
              <w:tab w:val="clear" w:pos="9072"/>
            </w:tabs>
            <w:ind w:left="-106"/>
            <w:rPr>
              <w:rFonts w:asciiTheme="majorHAnsi" w:hAnsiTheme="majorHAnsi" w:cstheme="majorHAnsi"/>
              <w:sz w:val="26"/>
              <w:szCs w:val="26"/>
            </w:rPr>
          </w:pPr>
        </w:p>
      </w:tc>
      <w:tc>
        <w:tcPr>
          <w:tcW w:w="2263" w:type="dxa"/>
          <w:vMerge/>
          <w:shd w:val="clear" w:color="auto" w:fill="auto"/>
          <w:vAlign w:val="center"/>
        </w:tcPr>
        <w:p w:rsidR="00211EF6" w:rsidRDefault="00211EF6" w:rsidP="00211EF6">
          <w:pPr>
            <w:ind w:left="316" w:right="-109" w:hanging="316"/>
            <w:jc w:val="center"/>
            <w:rPr>
              <w:noProof/>
            </w:rPr>
          </w:pPr>
        </w:p>
      </w:tc>
    </w:tr>
  </w:tbl>
  <w:p w:rsidR="005F53AF" w:rsidRPr="00211EF6" w:rsidRDefault="00FC211B" w:rsidP="00211EF6">
    <w:pPr>
      <w:pStyle w:val="Zaglavlje"/>
    </w:pPr>
    <w:r>
      <w:rPr>
        <w:rFonts w:ascii="UnizgDisplay Normal" w:hAnsi="UnizgDisplay Normal"/>
        <w:noProof/>
        <w:sz w:val="19"/>
        <w:szCs w:val="19"/>
      </w:rPr>
      <w:object w:dxaOrig="1440" w:dyaOrig="1440" w14:anchorId="04225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87.55pt;margin-top:-51.6pt;width:50.15pt;height:50.15pt;z-index:251699200;mso-position-horizontal-relative:text;mso-position-vertical-relative:text">
          <v:imagedata r:id="rId4" o:title=""/>
        </v:shape>
        <o:OLEObject Type="Embed" ProgID="CorelDraw.Graphic.15" ShapeID="_x0000_s2059" DrawAspect="Content" ObjectID="_1795495246" r:id="rId5"/>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tblLayout w:type="fixed"/>
      <w:tblLook w:val="04A0" w:firstRow="1" w:lastRow="0" w:firstColumn="1" w:lastColumn="0" w:noHBand="0" w:noVBand="1"/>
    </w:tblPr>
    <w:tblGrid>
      <w:gridCol w:w="3539"/>
      <w:gridCol w:w="4253"/>
      <w:gridCol w:w="2551"/>
    </w:tblGrid>
    <w:tr w:rsidR="0017429E" w:rsidRPr="00142461" w:rsidTr="00113FAA">
      <w:trPr>
        <w:trHeight w:val="430"/>
      </w:trPr>
      <w:tc>
        <w:tcPr>
          <w:tcW w:w="3539" w:type="dxa"/>
          <w:vMerge w:val="restart"/>
          <w:shd w:val="clear" w:color="auto" w:fill="auto"/>
          <w:vAlign w:val="center"/>
        </w:tcPr>
        <w:p w:rsidR="0017429E" w:rsidRPr="00340DB6" w:rsidRDefault="0017429E" w:rsidP="0017429E">
          <w:bookmarkStart w:id="5" w:name="_Hlk6307134"/>
          <w:bookmarkStart w:id="6" w:name="_Hlk6307135"/>
          <w:bookmarkStart w:id="7" w:name="_Hlk6314826"/>
          <w:bookmarkStart w:id="8" w:name="_Hlk6314827"/>
          <w:bookmarkStart w:id="9" w:name="_Hlk6315743"/>
          <w:bookmarkStart w:id="10" w:name="_Hlk6315744"/>
          <w:r>
            <w:rPr>
              <w:noProof/>
            </w:rPr>
            <w:drawing>
              <wp:inline distT="0" distB="0" distL="0" distR="0" wp14:anchorId="3EE98D1C" wp14:editId="20D74B75">
                <wp:extent cx="1395699" cy="828000"/>
                <wp:effectExtent l="0" t="0" r="0" b="0"/>
                <wp:docPr id="1711742794" name="Slika 3" descr="Slika na kojoj se prikazuje grafika, snimka zaslona, Font, grafički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42794" name="Slika 3" descr="Slika na kojoj se prikazuje grafika, snimka zaslona, Font, grafički dizajn&#10;&#10;Opis je automatski generiran"/>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395699" cy="828000"/>
                        </a:xfrm>
                        <a:prstGeom prst="rect">
                          <a:avLst/>
                        </a:prstGeom>
                        <a:noFill/>
                        <a:ln>
                          <a:noFill/>
                        </a:ln>
                      </pic:spPr>
                    </pic:pic>
                  </a:graphicData>
                </a:graphic>
              </wp:inline>
            </w:drawing>
          </w:r>
        </w:p>
      </w:tc>
      <w:tc>
        <w:tcPr>
          <w:tcW w:w="4253" w:type="dxa"/>
          <w:tcBorders>
            <w:bottom w:val="single" w:sz="4" w:space="0" w:color="auto"/>
          </w:tcBorders>
          <w:shd w:val="clear" w:color="auto" w:fill="auto"/>
          <w:vAlign w:val="center"/>
        </w:tcPr>
        <w:p w:rsidR="0017429E" w:rsidRDefault="0017429E" w:rsidP="0017429E">
          <w:pPr>
            <w:pStyle w:val="Zaglavlje"/>
            <w:tabs>
              <w:tab w:val="clear" w:pos="4536"/>
              <w:tab w:val="clear" w:pos="9072"/>
            </w:tabs>
            <w:spacing w:line="216" w:lineRule="auto"/>
            <w:ind w:left="-108"/>
            <w:rPr>
              <w:rFonts w:asciiTheme="majorHAnsi" w:hAnsiTheme="majorHAnsi" w:cstheme="majorHAnsi"/>
              <w:sz w:val="32"/>
              <w:szCs w:val="32"/>
            </w:rPr>
          </w:pPr>
          <w:r w:rsidRPr="00A47539">
            <w:rPr>
              <w:rFonts w:asciiTheme="majorHAnsi" w:hAnsiTheme="majorHAnsi" w:cstheme="majorHAnsi"/>
              <w:sz w:val="32"/>
              <w:szCs w:val="32"/>
            </w:rPr>
            <w:t>Sveučilište u Zagrebu</w:t>
          </w:r>
        </w:p>
        <w:p w:rsidR="0017429E" w:rsidRPr="00A47539" w:rsidRDefault="0017429E" w:rsidP="0017429E">
          <w:pPr>
            <w:pStyle w:val="Zaglavlje"/>
            <w:tabs>
              <w:tab w:val="clear" w:pos="4536"/>
              <w:tab w:val="clear" w:pos="9072"/>
            </w:tabs>
            <w:spacing w:line="216" w:lineRule="auto"/>
            <w:ind w:left="-108"/>
            <w:rPr>
              <w:rFonts w:asciiTheme="majorHAnsi" w:hAnsiTheme="majorHAnsi" w:cstheme="majorHAnsi"/>
              <w:sz w:val="32"/>
              <w:szCs w:val="32"/>
            </w:rPr>
          </w:pPr>
          <w:r w:rsidRPr="00A47539">
            <w:rPr>
              <w:rFonts w:asciiTheme="majorHAnsi" w:hAnsiTheme="majorHAnsi" w:cstheme="majorHAnsi"/>
              <w:b/>
              <w:bCs/>
              <w:sz w:val="32"/>
              <w:szCs w:val="32"/>
            </w:rPr>
            <w:t>GEOTEHNIČKI FAKULTET</w:t>
          </w:r>
        </w:p>
      </w:tc>
      <w:tc>
        <w:tcPr>
          <w:tcW w:w="2551" w:type="dxa"/>
          <w:vMerge w:val="restart"/>
          <w:shd w:val="clear" w:color="auto" w:fill="auto"/>
          <w:vAlign w:val="center"/>
        </w:tcPr>
        <w:p w:rsidR="0017429E" w:rsidRPr="00142461" w:rsidRDefault="0017429E" w:rsidP="0017429E">
          <w:pPr>
            <w:ind w:left="316" w:right="-109" w:hanging="316"/>
            <w:jc w:val="right"/>
            <w:rPr>
              <w:rFonts w:ascii="UnizgDisplay Normal" w:hAnsi="UnizgDisplay Normal"/>
              <w:sz w:val="19"/>
              <w:szCs w:val="19"/>
            </w:rPr>
          </w:pPr>
          <w:r>
            <w:rPr>
              <w:noProof/>
            </w:rPr>
            <w:drawing>
              <wp:inline distT="0" distB="0" distL="0" distR="0" wp14:anchorId="7E768AA3" wp14:editId="24B185D4">
                <wp:extent cx="1490257" cy="828000"/>
                <wp:effectExtent l="0" t="0" r="0" b="0"/>
                <wp:docPr id="2009073410" name="Slika 2009073410" descr="Slika na kojoj se prikazuje snimka zaslona, krug, grafika, svjet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73410" name="Slika 2009073410" descr="Slika na kojoj se prikazuje snimka zaslona, krug, grafika, svjetlo&#10;&#10;Opis je automatski generiran"/>
                        <pic:cNvPicPr>
                          <a:picLocks noChangeAspect="1" noChangeArrowheads="1"/>
                        </pic:cNvPicPr>
                      </pic:nvPicPr>
                      <pic:blipFill rotWithShape="1">
                        <a:blip r:embed="rId2" cstate="hqprint">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a:ext>
                          </a:extLst>
                        </a:blip>
                        <a:srcRect r="-1"/>
                        <a:stretch/>
                      </pic:blipFill>
                      <pic:spPr bwMode="auto">
                        <a:xfrm>
                          <a:off x="0" y="0"/>
                          <a:ext cx="1490257" cy="82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7429E" w:rsidRPr="00142461" w:rsidTr="00113FAA">
      <w:trPr>
        <w:trHeight w:val="189"/>
      </w:trPr>
      <w:tc>
        <w:tcPr>
          <w:tcW w:w="3539" w:type="dxa"/>
          <w:vMerge/>
          <w:shd w:val="clear" w:color="auto" w:fill="auto"/>
          <w:vAlign w:val="center"/>
        </w:tcPr>
        <w:p w:rsidR="0017429E" w:rsidRDefault="0017429E" w:rsidP="0017429E">
          <w:pPr>
            <w:rPr>
              <w:noProof/>
            </w:rPr>
          </w:pPr>
        </w:p>
      </w:tc>
      <w:tc>
        <w:tcPr>
          <w:tcW w:w="4253" w:type="dxa"/>
          <w:tcBorders>
            <w:top w:val="single" w:sz="4" w:space="0" w:color="auto"/>
          </w:tcBorders>
          <w:shd w:val="clear" w:color="auto" w:fill="auto"/>
          <w:vAlign w:val="center"/>
        </w:tcPr>
        <w:p w:rsidR="0017429E" w:rsidRPr="00A47539" w:rsidRDefault="0017429E" w:rsidP="0017429E">
          <w:pPr>
            <w:pStyle w:val="Zaglavlje"/>
            <w:tabs>
              <w:tab w:val="clear" w:pos="4536"/>
              <w:tab w:val="clear" w:pos="9072"/>
            </w:tabs>
            <w:spacing w:line="216" w:lineRule="auto"/>
            <w:ind w:left="-108"/>
            <w:rPr>
              <w:rFonts w:asciiTheme="majorHAnsi" w:hAnsiTheme="majorHAnsi" w:cstheme="majorHAnsi"/>
              <w:b/>
              <w:bCs/>
              <w:sz w:val="14"/>
              <w:szCs w:val="14"/>
            </w:rPr>
          </w:pPr>
          <w:r w:rsidRPr="00A47539">
            <w:rPr>
              <w:rFonts w:asciiTheme="majorHAnsi" w:hAnsiTheme="majorHAnsi" w:cstheme="majorHAnsi"/>
              <w:b/>
              <w:bCs/>
              <w:sz w:val="14"/>
              <w:szCs w:val="14"/>
            </w:rPr>
            <w:t>Hallerova aleja 7</w:t>
          </w:r>
          <w:r w:rsidRPr="00A47539">
            <w:rPr>
              <w:rFonts w:asciiTheme="majorHAnsi" w:hAnsiTheme="majorHAnsi" w:cstheme="majorHAnsi"/>
              <w:sz w:val="14"/>
              <w:szCs w:val="14"/>
            </w:rPr>
            <w:t xml:space="preserve">    </w:t>
          </w:r>
          <w:r w:rsidRPr="00A47539">
            <w:rPr>
              <w:rFonts w:asciiTheme="majorHAnsi" w:hAnsiTheme="majorHAnsi" w:cstheme="majorHAnsi"/>
              <w:b/>
              <w:bCs/>
              <w:sz w:val="14"/>
              <w:szCs w:val="14"/>
            </w:rPr>
            <w:t>|</w:t>
          </w:r>
          <w:r w:rsidRPr="00A47539">
            <w:rPr>
              <w:rFonts w:asciiTheme="majorHAnsi" w:hAnsiTheme="majorHAnsi" w:cstheme="majorHAnsi"/>
              <w:sz w:val="14"/>
              <w:szCs w:val="14"/>
            </w:rPr>
            <w:t xml:space="preserve">    </w:t>
          </w:r>
          <w:r w:rsidRPr="00A47539">
            <w:rPr>
              <w:rFonts w:asciiTheme="majorHAnsi" w:hAnsiTheme="majorHAnsi" w:cstheme="majorHAnsi"/>
              <w:b/>
              <w:bCs/>
              <w:sz w:val="14"/>
              <w:szCs w:val="14"/>
            </w:rPr>
            <w:t>HR - 42000 Varaždin</w:t>
          </w:r>
        </w:p>
        <w:p w:rsidR="0017429E" w:rsidRPr="00A47539" w:rsidRDefault="0017429E" w:rsidP="0017429E">
          <w:pPr>
            <w:pStyle w:val="Zaglavlje"/>
            <w:tabs>
              <w:tab w:val="clear" w:pos="4536"/>
              <w:tab w:val="clear" w:pos="9072"/>
            </w:tabs>
            <w:spacing w:line="216" w:lineRule="auto"/>
            <w:ind w:left="-108"/>
            <w:rPr>
              <w:rFonts w:asciiTheme="majorHAnsi" w:hAnsiTheme="majorHAnsi" w:cstheme="majorHAnsi"/>
            </w:rPr>
          </w:pPr>
          <w:r w:rsidRPr="00A47539">
            <w:rPr>
              <w:rFonts w:asciiTheme="majorHAnsi" w:hAnsiTheme="majorHAnsi" w:cstheme="majorHAnsi"/>
              <w:sz w:val="14"/>
              <w:szCs w:val="14"/>
            </w:rPr>
            <w:t xml:space="preserve">telefon: +385 (0)42 408 900    </w:t>
          </w:r>
          <w:r w:rsidRPr="00A47539">
            <w:rPr>
              <w:rFonts w:asciiTheme="majorHAnsi" w:hAnsiTheme="majorHAnsi" w:cstheme="majorHAnsi"/>
              <w:b/>
              <w:bCs/>
              <w:sz w:val="14"/>
              <w:szCs w:val="14"/>
            </w:rPr>
            <w:t>|</w:t>
          </w:r>
          <w:r w:rsidRPr="00A47539">
            <w:rPr>
              <w:rFonts w:asciiTheme="majorHAnsi" w:hAnsiTheme="majorHAnsi" w:cstheme="majorHAnsi"/>
              <w:sz w:val="14"/>
              <w:szCs w:val="14"/>
            </w:rPr>
            <w:t xml:space="preserve">    e-pošta: ured.dekana@gfv.unizg.hr     </w:t>
          </w:r>
        </w:p>
        <w:p w:rsidR="0017429E" w:rsidRPr="007838DD" w:rsidRDefault="0017429E" w:rsidP="0017429E">
          <w:pPr>
            <w:pStyle w:val="Zaglavlje"/>
            <w:tabs>
              <w:tab w:val="clear" w:pos="4536"/>
              <w:tab w:val="clear" w:pos="9072"/>
            </w:tabs>
            <w:spacing w:line="216" w:lineRule="auto"/>
            <w:ind w:left="-108"/>
            <w:rPr>
              <w:rFonts w:asciiTheme="majorHAnsi" w:hAnsiTheme="majorHAnsi" w:cstheme="majorHAnsi"/>
              <w:sz w:val="26"/>
              <w:szCs w:val="26"/>
            </w:rPr>
          </w:pPr>
          <w:r w:rsidRPr="00A47539">
            <w:rPr>
              <w:rFonts w:asciiTheme="majorHAnsi" w:hAnsiTheme="majorHAnsi" w:cstheme="majorHAnsi"/>
              <w:b/>
              <w:sz w:val="14"/>
              <w:szCs w:val="14"/>
            </w:rPr>
            <w:t>OIB: 16146181375</w:t>
          </w:r>
          <w:r w:rsidRPr="00A47539">
            <w:rPr>
              <w:rFonts w:asciiTheme="majorHAnsi" w:hAnsiTheme="majorHAnsi" w:cstheme="majorHAnsi"/>
              <w:sz w:val="14"/>
              <w:szCs w:val="14"/>
            </w:rPr>
            <w:t xml:space="preserve">    </w:t>
          </w:r>
          <w:r w:rsidRPr="00A47539">
            <w:rPr>
              <w:rFonts w:asciiTheme="majorHAnsi" w:hAnsiTheme="majorHAnsi" w:cstheme="majorHAnsi"/>
              <w:b/>
              <w:bCs/>
              <w:sz w:val="14"/>
              <w:szCs w:val="14"/>
            </w:rPr>
            <w:t>|</w:t>
          </w:r>
          <w:r w:rsidRPr="00A47539">
            <w:rPr>
              <w:rFonts w:asciiTheme="majorHAnsi" w:hAnsiTheme="majorHAnsi" w:cstheme="majorHAnsi"/>
              <w:sz w:val="14"/>
              <w:szCs w:val="14"/>
            </w:rPr>
            <w:t xml:space="preserve">    </w:t>
          </w:r>
          <w:r w:rsidRPr="00A47539">
            <w:rPr>
              <w:rFonts w:asciiTheme="majorHAnsi" w:hAnsiTheme="majorHAnsi" w:cstheme="majorHAnsi"/>
              <w:b/>
              <w:sz w:val="14"/>
              <w:szCs w:val="14"/>
            </w:rPr>
            <w:t>mrežna stranica: www.gfv.unizg.hr</w:t>
          </w:r>
        </w:p>
      </w:tc>
      <w:tc>
        <w:tcPr>
          <w:tcW w:w="2551" w:type="dxa"/>
          <w:vMerge/>
          <w:shd w:val="clear" w:color="auto" w:fill="auto"/>
          <w:vAlign w:val="center"/>
        </w:tcPr>
        <w:p w:rsidR="0017429E" w:rsidRDefault="0017429E" w:rsidP="0017429E">
          <w:pPr>
            <w:ind w:left="316" w:right="-109" w:hanging="316"/>
            <w:jc w:val="center"/>
            <w:rPr>
              <w:noProof/>
            </w:rPr>
          </w:pPr>
        </w:p>
      </w:tc>
    </w:tr>
  </w:tbl>
  <w:bookmarkEnd w:id="5"/>
  <w:bookmarkEnd w:id="6"/>
  <w:bookmarkEnd w:id="7"/>
  <w:bookmarkEnd w:id="8"/>
  <w:bookmarkEnd w:id="9"/>
  <w:bookmarkEnd w:id="10"/>
  <w:p w:rsidR="00135F62" w:rsidRPr="0017429E" w:rsidRDefault="00FC211B" w:rsidP="0017429E">
    <w:pPr>
      <w:pStyle w:val="Zaglavlje"/>
    </w:pPr>
    <w:r>
      <w:rPr>
        <w:noProof/>
      </w:rPr>
      <w:object w:dxaOrig="1440" w:dyaOrig="1440" w14:anchorId="217AA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108.05pt;margin-top:-65.75pt;width:63.85pt;height:63.85pt;z-index:251658240;mso-position-horizontal-relative:text;mso-position-vertical-relative:text">
          <v:imagedata r:id="rId4" o:title=""/>
        </v:shape>
        <o:OLEObject Type="Embed" ProgID="CorelDraw.Graphic.15" ShapeID="_x0000_s2062" DrawAspect="Content" ObjectID="_1795495247" r:id="rId5"/>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929"/>
    <w:multiLevelType w:val="hybridMultilevel"/>
    <w:tmpl w:val="8FA05962"/>
    <w:lvl w:ilvl="0" w:tplc="96E436AA">
      <w:start w:val="1"/>
      <w:numFmt w:val="lowerLetter"/>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 w15:restartNumberingAfterBreak="0">
    <w:nsid w:val="0EDD5D2F"/>
    <w:multiLevelType w:val="hybridMultilevel"/>
    <w:tmpl w:val="5C9E9B94"/>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start w:val="1"/>
      <w:numFmt w:val="lowerRoman"/>
      <w:lvlText w:val="%3."/>
      <w:lvlJc w:val="right"/>
      <w:pPr>
        <w:ind w:left="3216" w:hanging="180"/>
      </w:pPr>
    </w:lvl>
    <w:lvl w:ilvl="3" w:tplc="041A000F">
      <w:start w:val="1"/>
      <w:numFmt w:val="decimal"/>
      <w:lvlText w:val="%4."/>
      <w:lvlJc w:val="left"/>
      <w:pPr>
        <w:ind w:left="3936" w:hanging="360"/>
      </w:pPr>
      <w:rPr>
        <w:rFonts w:hint="default"/>
      </w:r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 w15:restartNumberingAfterBreak="0">
    <w:nsid w:val="12B9656C"/>
    <w:multiLevelType w:val="hybridMultilevel"/>
    <w:tmpl w:val="0DA24D86"/>
    <w:lvl w:ilvl="0" w:tplc="041A000F">
      <w:start w:val="1"/>
      <w:numFmt w:val="decimal"/>
      <w:lvlText w:val="%1."/>
      <w:lvlJc w:val="left"/>
      <w:pPr>
        <w:ind w:left="1776" w:hanging="360"/>
      </w:pPr>
      <w:rPr>
        <w:rFonts w:hint="default"/>
      </w:rPr>
    </w:lvl>
    <w:lvl w:ilvl="1" w:tplc="3C38BB38">
      <w:start w:val="1"/>
      <w:numFmt w:val="bullet"/>
      <w:lvlText w:val=""/>
      <w:lvlJc w:val="left"/>
      <w:pPr>
        <w:ind w:left="2496" w:hanging="360"/>
      </w:pPr>
      <w:rPr>
        <w:rFonts w:ascii="Symbol" w:hAnsi="Symbol" w:hint="default"/>
      </w:r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 w15:restartNumberingAfterBreak="0">
    <w:nsid w:val="19B730A3"/>
    <w:multiLevelType w:val="hybridMultilevel"/>
    <w:tmpl w:val="B0CE7906"/>
    <w:lvl w:ilvl="0" w:tplc="24C02A7E">
      <w:start w:val="1"/>
      <w:numFmt w:val="lowerLetter"/>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4" w15:restartNumberingAfterBreak="0">
    <w:nsid w:val="1BE43146"/>
    <w:multiLevelType w:val="hybridMultilevel"/>
    <w:tmpl w:val="F3A0C6FA"/>
    <w:lvl w:ilvl="0" w:tplc="11CE8064">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219747B0"/>
    <w:multiLevelType w:val="hybridMultilevel"/>
    <w:tmpl w:val="C3D696E4"/>
    <w:lvl w:ilvl="0" w:tplc="041A0005">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24741F86"/>
    <w:multiLevelType w:val="hybridMultilevel"/>
    <w:tmpl w:val="389C4A1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 w15:restartNumberingAfterBreak="0">
    <w:nsid w:val="25653AEB"/>
    <w:multiLevelType w:val="hybridMultilevel"/>
    <w:tmpl w:val="CB7872CE"/>
    <w:lvl w:ilvl="0" w:tplc="EBC69118">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29FB47D0"/>
    <w:multiLevelType w:val="hybridMultilevel"/>
    <w:tmpl w:val="5B648614"/>
    <w:lvl w:ilvl="0" w:tplc="8B106A24">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9" w15:restartNumberingAfterBreak="0">
    <w:nsid w:val="2C044842"/>
    <w:multiLevelType w:val="hybridMultilevel"/>
    <w:tmpl w:val="8F9E3EDE"/>
    <w:lvl w:ilvl="0" w:tplc="041A0005">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0" w15:restartNumberingAfterBreak="0">
    <w:nsid w:val="2E4708DB"/>
    <w:multiLevelType w:val="hybridMultilevel"/>
    <w:tmpl w:val="CB7872CE"/>
    <w:lvl w:ilvl="0" w:tplc="EBC69118">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 w15:restartNumberingAfterBreak="0">
    <w:nsid w:val="32373853"/>
    <w:multiLevelType w:val="hybridMultilevel"/>
    <w:tmpl w:val="814A8A7E"/>
    <w:lvl w:ilvl="0" w:tplc="922C37EA">
      <w:numFmt w:val="bullet"/>
      <w:lvlText w:val="-"/>
      <w:lvlJc w:val="left"/>
      <w:pPr>
        <w:ind w:left="1778" w:hanging="360"/>
      </w:pPr>
      <w:rPr>
        <w:rFonts w:ascii="UniZgLight" w:eastAsia="Times New Roman" w:hAnsi="UniZgLight" w:cs="Times New Roman"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2" w15:restartNumberingAfterBreak="0">
    <w:nsid w:val="344D196D"/>
    <w:multiLevelType w:val="hybridMultilevel"/>
    <w:tmpl w:val="DAD60406"/>
    <w:lvl w:ilvl="0" w:tplc="1C38F8D6">
      <w:start w:val="1"/>
      <w:numFmt w:val="lowerLetter"/>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3" w15:restartNumberingAfterBreak="0">
    <w:nsid w:val="41CB3C34"/>
    <w:multiLevelType w:val="hybridMultilevel"/>
    <w:tmpl w:val="CFF4495E"/>
    <w:lvl w:ilvl="0" w:tplc="55261CD2">
      <w:numFmt w:val="bullet"/>
      <w:lvlText w:val="-"/>
      <w:lvlJc w:val="left"/>
      <w:pPr>
        <w:ind w:left="2136" w:hanging="360"/>
      </w:pPr>
      <w:rPr>
        <w:rFonts w:ascii="Corbel" w:eastAsia="Calibri" w:hAnsi="Corbel"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14" w15:restartNumberingAfterBreak="0">
    <w:nsid w:val="421E3667"/>
    <w:multiLevelType w:val="hybridMultilevel"/>
    <w:tmpl w:val="9444999E"/>
    <w:lvl w:ilvl="0" w:tplc="041A000F">
      <w:start w:val="1"/>
      <w:numFmt w:val="decimal"/>
      <w:lvlText w:val="%1."/>
      <w:lvlJc w:val="left"/>
      <w:pPr>
        <w:ind w:left="1778" w:hanging="360"/>
      </w:pPr>
    </w:lvl>
    <w:lvl w:ilvl="1" w:tplc="041A0019">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15" w15:restartNumberingAfterBreak="0">
    <w:nsid w:val="493822A5"/>
    <w:multiLevelType w:val="hybridMultilevel"/>
    <w:tmpl w:val="77520C38"/>
    <w:lvl w:ilvl="0" w:tplc="041A0005">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6" w15:restartNumberingAfterBreak="0">
    <w:nsid w:val="4B6104B1"/>
    <w:multiLevelType w:val="hybridMultilevel"/>
    <w:tmpl w:val="C4D80B90"/>
    <w:lvl w:ilvl="0" w:tplc="041A0005">
      <w:start w:val="1"/>
      <w:numFmt w:val="bullet"/>
      <w:lvlText w:val=""/>
      <w:lvlJc w:val="left"/>
      <w:pPr>
        <w:ind w:left="1776"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E1E0E67E">
      <w:start w:val="6"/>
      <w:numFmt w:val="bullet"/>
      <w:lvlText w:val="-"/>
      <w:lvlJc w:val="left"/>
      <w:pPr>
        <w:ind w:left="2880" w:hanging="360"/>
      </w:pPr>
      <w:rPr>
        <w:rFonts w:ascii="Calibri" w:eastAsia="Calibri" w:hAnsi="Calibri" w:cs="Calibri"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5B1F5A"/>
    <w:multiLevelType w:val="hybridMultilevel"/>
    <w:tmpl w:val="E46ED9D0"/>
    <w:lvl w:ilvl="0" w:tplc="041A0005">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9" w15:restartNumberingAfterBreak="0">
    <w:nsid w:val="5D8328A9"/>
    <w:multiLevelType w:val="hybridMultilevel"/>
    <w:tmpl w:val="F760DA66"/>
    <w:lvl w:ilvl="0" w:tplc="9CCA8FD8">
      <w:start w:val="1"/>
      <w:numFmt w:val="decimal"/>
      <w:lvlText w:val="%1."/>
      <w:lvlJc w:val="left"/>
      <w:pPr>
        <w:ind w:left="1778" w:hanging="360"/>
      </w:pPr>
      <w:rPr>
        <w:rFonts w:hint="default"/>
      </w:r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20" w15:restartNumberingAfterBreak="0">
    <w:nsid w:val="612B67D0"/>
    <w:multiLevelType w:val="hybridMultilevel"/>
    <w:tmpl w:val="EBD4D78A"/>
    <w:lvl w:ilvl="0" w:tplc="55261CD2">
      <w:numFmt w:val="bullet"/>
      <w:lvlText w:val="-"/>
      <w:lvlJc w:val="left"/>
      <w:pPr>
        <w:ind w:left="1778" w:hanging="360"/>
      </w:pPr>
      <w:rPr>
        <w:rFonts w:ascii="Corbel" w:eastAsia="Calibri" w:hAnsi="Corbel" w:cs="Times New Roman"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1"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DC0401"/>
    <w:multiLevelType w:val="hybridMultilevel"/>
    <w:tmpl w:val="A41A0A64"/>
    <w:lvl w:ilvl="0" w:tplc="E280D59C">
      <w:start w:val="2"/>
      <w:numFmt w:val="bullet"/>
      <w:lvlText w:val="-"/>
      <w:lvlJc w:val="left"/>
      <w:pPr>
        <w:ind w:left="360" w:hanging="360"/>
      </w:pPr>
      <w:rPr>
        <w:rFonts w:ascii="Calibri" w:eastAsia="Times New Roman" w:hAnsi="Calibri" w:cs="Calibri"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AA05874"/>
    <w:multiLevelType w:val="hybridMultilevel"/>
    <w:tmpl w:val="30F23804"/>
    <w:lvl w:ilvl="0" w:tplc="735CF8CC">
      <w:numFmt w:val="bullet"/>
      <w:lvlText w:val="-"/>
      <w:lvlJc w:val="left"/>
      <w:pPr>
        <w:ind w:left="1776" w:hanging="360"/>
      </w:pPr>
      <w:rPr>
        <w:rFonts w:ascii="Calibri" w:eastAsia="Times New Roman"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4"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2311895"/>
    <w:multiLevelType w:val="hybridMultilevel"/>
    <w:tmpl w:val="9926DBBE"/>
    <w:lvl w:ilvl="0" w:tplc="041A0005">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6" w15:restartNumberingAfterBreak="0">
    <w:nsid w:val="72CE1850"/>
    <w:multiLevelType w:val="hybridMultilevel"/>
    <w:tmpl w:val="DEF29C38"/>
    <w:lvl w:ilvl="0" w:tplc="041A0005">
      <w:start w:val="1"/>
      <w:numFmt w:val="bullet"/>
      <w:lvlText w:val=""/>
      <w:lvlJc w:val="left"/>
      <w:pPr>
        <w:ind w:left="1776" w:hanging="360"/>
      </w:pPr>
      <w:rPr>
        <w:rFonts w:ascii="Wingdings" w:hAnsi="Wingdings"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7" w15:restartNumberingAfterBreak="0">
    <w:nsid w:val="756C7E9C"/>
    <w:multiLevelType w:val="hybridMultilevel"/>
    <w:tmpl w:val="A588D4D8"/>
    <w:lvl w:ilvl="0" w:tplc="E32800C4">
      <w:start w:val="1"/>
      <w:numFmt w:val="decimal"/>
      <w:lvlText w:val="%1."/>
      <w:lvlJc w:val="left"/>
      <w:pPr>
        <w:ind w:left="1080" w:hanging="360"/>
      </w:pPr>
      <w:rPr>
        <w:rFonts w:asciiTheme="minorHAnsi" w:eastAsiaTheme="minorHAnsi" w:hAnsiTheme="minorHAnsi" w:cstheme="minorBid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78483CC3"/>
    <w:multiLevelType w:val="hybridMultilevel"/>
    <w:tmpl w:val="357AFAC0"/>
    <w:lvl w:ilvl="0" w:tplc="6F1CE636">
      <w:start w:val="1"/>
      <w:numFmt w:val="lowerLetter"/>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29" w15:restartNumberingAfterBreak="0">
    <w:nsid w:val="794D4D53"/>
    <w:multiLevelType w:val="multilevel"/>
    <w:tmpl w:val="6926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10"/>
  </w:num>
  <w:num w:numId="4">
    <w:abstractNumId w:val="7"/>
  </w:num>
  <w:num w:numId="5">
    <w:abstractNumId w:val="16"/>
  </w:num>
  <w:num w:numId="6">
    <w:abstractNumId w:val="25"/>
  </w:num>
  <w:num w:numId="7">
    <w:abstractNumId w:val="15"/>
  </w:num>
  <w:num w:numId="8">
    <w:abstractNumId w:val="26"/>
  </w:num>
  <w:num w:numId="9">
    <w:abstractNumId w:val="18"/>
  </w:num>
  <w:num w:numId="10">
    <w:abstractNumId w:val="22"/>
  </w:num>
  <w:num w:numId="11">
    <w:abstractNumId w:val="6"/>
  </w:num>
  <w:num w:numId="12">
    <w:abstractNumId w:val="5"/>
  </w:num>
  <w:num w:numId="13">
    <w:abstractNumId w:val="4"/>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19"/>
  </w:num>
  <w:num w:numId="25">
    <w:abstractNumId w:val="29"/>
  </w:num>
  <w:num w:numId="26">
    <w:abstractNumId w:val="20"/>
  </w:num>
  <w:num w:numId="27">
    <w:abstractNumId w:val="11"/>
  </w:num>
  <w:num w:numId="28">
    <w:abstractNumId w:val="17"/>
  </w:num>
  <w:num w:numId="29">
    <w:abstractNumId w:val="24"/>
  </w:num>
  <w:num w:numId="30">
    <w:abstractNumId w:val="21"/>
  </w:num>
  <w:num w:numId="3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81"/>
    <w:rsid w:val="000017B6"/>
    <w:rsid w:val="000020E8"/>
    <w:rsid w:val="000079FD"/>
    <w:rsid w:val="000117F6"/>
    <w:rsid w:val="00016163"/>
    <w:rsid w:val="00022127"/>
    <w:rsid w:val="00022352"/>
    <w:rsid w:val="00025219"/>
    <w:rsid w:val="000279DC"/>
    <w:rsid w:val="000328C6"/>
    <w:rsid w:val="00032ACB"/>
    <w:rsid w:val="0003392F"/>
    <w:rsid w:val="00034B1C"/>
    <w:rsid w:val="000410A2"/>
    <w:rsid w:val="00044C8A"/>
    <w:rsid w:val="00050ADC"/>
    <w:rsid w:val="00051FDC"/>
    <w:rsid w:val="000579EE"/>
    <w:rsid w:val="00061F8E"/>
    <w:rsid w:val="0006500E"/>
    <w:rsid w:val="00067307"/>
    <w:rsid w:val="0007117E"/>
    <w:rsid w:val="00071B4A"/>
    <w:rsid w:val="00072251"/>
    <w:rsid w:val="000727ED"/>
    <w:rsid w:val="00076909"/>
    <w:rsid w:val="000814AB"/>
    <w:rsid w:val="0009329F"/>
    <w:rsid w:val="00093CBB"/>
    <w:rsid w:val="000A4BDB"/>
    <w:rsid w:val="000A6461"/>
    <w:rsid w:val="000B2E6B"/>
    <w:rsid w:val="000B427E"/>
    <w:rsid w:val="000B46BD"/>
    <w:rsid w:val="000B6B77"/>
    <w:rsid w:val="000B7EDE"/>
    <w:rsid w:val="000C3254"/>
    <w:rsid w:val="000C5575"/>
    <w:rsid w:val="000C5DB8"/>
    <w:rsid w:val="000D1652"/>
    <w:rsid w:val="000D40A7"/>
    <w:rsid w:val="000D4BED"/>
    <w:rsid w:val="000D4EC1"/>
    <w:rsid w:val="000D5DA8"/>
    <w:rsid w:val="000D70CC"/>
    <w:rsid w:val="000E266F"/>
    <w:rsid w:val="000E3BB6"/>
    <w:rsid w:val="000E5EFE"/>
    <w:rsid w:val="000E6706"/>
    <w:rsid w:val="000F41FD"/>
    <w:rsid w:val="000F6291"/>
    <w:rsid w:val="000F6A6B"/>
    <w:rsid w:val="000F731F"/>
    <w:rsid w:val="00102542"/>
    <w:rsid w:val="00102936"/>
    <w:rsid w:val="001055DB"/>
    <w:rsid w:val="001108EA"/>
    <w:rsid w:val="00112295"/>
    <w:rsid w:val="00115E22"/>
    <w:rsid w:val="00120BE7"/>
    <w:rsid w:val="00121B9A"/>
    <w:rsid w:val="00123A70"/>
    <w:rsid w:val="00125DAF"/>
    <w:rsid w:val="00127ECB"/>
    <w:rsid w:val="00131FE2"/>
    <w:rsid w:val="001327AE"/>
    <w:rsid w:val="0013465F"/>
    <w:rsid w:val="0013596D"/>
    <w:rsid w:val="00135F62"/>
    <w:rsid w:val="0013663A"/>
    <w:rsid w:val="00140B5F"/>
    <w:rsid w:val="00141142"/>
    <w:rsid w:val="0014177D"/>
    <w:rsid w:val="00141BD8"/>
    <w:rsid w:val="00151D70"/>
    <w:rsid w:val="00152144"/>
    <w:rsid w:val="00152B0E"/>
    <w:rsid w:val="00156C98"/>
    <w:rsid w:val="0016349D"/>
    <w:rsid w:val="00163BD9"/>
    <w:rsid w:val="0017167B"/>
    <w:rsid w:val="00173F6E"/>
    <w:rsid w:val="0017429E"/>
    <w:rsid w:val="00175FF0"/>
    <w:rsid w:val="0017625F"/>
    <w:rsid w:val="0017757B"/>
    <w:rsid w:val="0018325F"/>
    <w:rsid w:val="001834A1"/>
    <w:rsid w:val="0018386E"/>
    <w:rsid w:val="001863AA"/>
    <w:rsid w:val="00190F1C"/>
    <w:rsid w:val="001914EC"/>
    <w:rsid w:val="00192888"/>
    <w:rsid w:val="00193A29"/>
    <w:rsid w:val="00193C2D"/>
    <w:rsid w:val="001A50FC"/>
    <w:rsid w:val="001A5832"/>
    <w:rsid w:val="001A7808"/>
    <w:rsid w:val="001A78A8"/>
    <w:rsid w:val="001B61B0"/>
    <w:rsid w:val="001B6593"/>
    <w:rsid w:val="001D20A2"/>
    <w:rsid w:val="001D20BF"/>
    <w:rsid w:val="001D4D5F"/>
    <w:rsid w:val="001D57CC"/>
    <w:rsid w:val="001E3CF5"/>
    <w:rsid w:val="001E4A1A"/>
    <w:rsid w:val="001F1EDB"/>
    <w:rsid w:val="001F24CC"/>
    <w:rsid w:val="001F2EDC"/>
    <w:rsid w:val="001F4FCE"/>
    <w:rsid w:val="0020596A"/>
    <w:rsid w:val="0021019C"/>
    <w:rsid w:val="00210B6B"/>
    <w:rsid w:val="00211411"/>
    <w:rsid w:val="00211EF6"/>
    <w:rsid w:val="00212E75"/>
    <w:rsid w:val="00215260"/>
    <w:rsid w:val="002207B4"/>
    <w:rsid w:val="00233449"/>
    <w:rsid w:val="002337AD"/>
    <w:rsid w:val="002356B2"/>
    <w:rsid w:val="00244397"/>
    <w:rsid w:val="002443EA"/>
    <w:rsid w:val="00250B80"/>
    <w:rsid w:val="002524E7"/>
    <w:rsid w:val="0025368B"/>
    <w:rsid w:val="00260C62"/>
    <w:rsid w:val="002621B5"/>
    <w:rsid w:val="0026502C"/>
    <w:rsid w:val="002674A5"/>
    <w:rsid w:val="00267561"/>
    <w:rsid w:val="002679AA"/>
    <w:rsid w:val="00273DBD"/>
    <w:rsid w:val="00273EF2"/>
    <w:rsid w:val="002753CE"/>
    <w:rsid w:val="00277204"/>
    <w:rsid w:val="00277A8D"/>
    <w:rsid w:val="00281405"/>
    <w:rsid w:val="002828D9"/>
    <w:rsid w:val="00286E44"/>
    <w:rsid w:val="002919A0"/>
    <w:rsid w:val="002A1D34"/>
    <w:rsid w:val="002A1F24"/>
    <w:rsid w:val="002A201F"/>
    <w:rsid w:val="002A3195"/>
    <w:rsid w:val="002B18E6"/>
    <w:rsid w:val="002B52D3"/>
    <w:rsid w:val="002B53E0"/>
    <w:rsid w:val="002B55C9"/>
    <w:rsid w:val="002C1163"/>
    <w:rsid w:val="002C3EA6"/>
    <w:rsid w:val="002C436D"/>
    <w:rsid w:val="002C505A"/>
    <w:rsid w:val="002C55E1"/>
    <w:rsid w:val="002D02A8"/>
    <w:rsid w:val="002D301C"/>
    <w:rsid w:val="002D4EE3"/>
    <w:rsid w:val="002D5005"/>
    <w:rsid w:val="002D6ED1"/>
    <w:rsid w:val="002E1414"/>
    <w:rsid w:val="002E1C8D"/>
    <w:rsid w:val="002E2727"/>
    <w:rsid w:val="002E543C"/>
    <w:rsid w:val="002E7A1A"/>
    <w:rsid w:val="002F0797"/>
    <w:rsid w:val="002F3E46"/>
    <w:rsid w:val="002F67A1"/>
    <w:rsid w:val="002F7CA6"/>
    <w:rsid w:val="003010DE"/>
    <w:rsid w:val="0030168A"/>
    <w:rsid w:val="00305AC7"/>
    <w:rsid w:val="0031679D"/>
    <w:rsid w:val="00320CA3"/>
    <w:rsid w:val="00322924"/>
    <w:rsid w:val="0032333F"/>
    <w:rsid w:val="00330D87"/>
    <w:rsid w:val="0033792B"/>
    <w:rsid w:val="00343B97"/>
    <w:rsid w:val="00343E80"/>
    <w:rsid w:val="003446DD"/>
    <w:rsid w:val="00345139"/>
    <w:rsid w:val="00347521"/>
    <w:rsid w:val="003505B8"/>
    <w:rsid w:val="00352ABC"/>
    <w:rsid w:val="0035357D"/>
    <w:rsid w:val="00355DED"/>
    <w:rsid w:val="0035662E"/>
    <w:rsid w:val="00360A56"/>
    <w:rsid w:val="00362F38"/>
    <w:rsid w:val="00363204"/>
    <w:rsid w:val="00366144"/>
    <w:rsid w:val="00366271"/>
    <w:rsid w:val="0037043E"/>
    <w:rsid w:val="0037155C"/>
    <w:rsid w:val="003757AE"/>
    <w:rsid w:val="00382285"/>
    <w:rsid w:val="00382725"/>
    <w:rsid w:val="00385092"/>
    <w:rsid w:val="0038541A"/>
    <w:rsid w:val="00385F58"/>
    <w:rsid w:val="00390271"/>
    <w:rsid w:val="00392071"/>
    <w:rsid w:val="00392161"/>
    <w:rsid w:val="00395E57"/>
    <w:rsid w:val="00396C69"/>
    <w:rsid w:val="003970E0"/>
    <w:rsid w:val="003A1055"/>
    <w:rsid w:val="003A2A4B"/>
    <w:rsid w:val="003A4581"/>
    <w:rsid w:val="003A582E"/>
    <w:rsid w:val="003A66C6"/>
    <w:rsid w:val="003B0B00"/>
    <w:rsid w:val="003B5248"/>
    <w:rsid w:val="003B7610"/>
    <w:rsid w:val="003B7EE9"/>
    <w:rsid w:val="003C24E1"/>
    <w:rsid w:val="003C425F"/>
    <w:rsid w:val="003C452C"/>
    <w:rsid w:val="003C45A4"/>
    <w:rsid w:val="003C73F2"/>
    <w:rsid w:val="003C7F9A"/>
    <w:rsid w:val="003D009A"/>
    <w:rsid w:val="003D2523"/>
    <w:rsid w:val="003D3707"/>
    <w:rsid w:val="003D3B84"/>
    <w:rsid w:val="003D52AC"/>
    <w:rsid w:val="003E1F02"/>
    <w:rsid w:val="003E2B5B"/>
    <w:rsid w:val="003E3594"/>
    <w:rsid w:val="003E3E9A"/>
    <w:rsid w:val="003F4A57"/>
    <w:rsid w:val="003F71A5"/>
    <w:rsid w:val="00400CEE"/>
    <w:rsid w:val="00404BFD"/>
    <w:rsid w:val="0040599D"/>
    <w:rsid w:val="0040619C"/>
    <w:rsid w:val="004100DE"/>
    <w:rsid w:val="0041214E"/>
    <w:rsid w:val="00412508"/>
    <w:rsid w:val="004129F0"/>
    <w:rsid w:val="00412A6E"/>
    <w:rsid w:val="0041509A"/>
    <w:rsid w:val="00416610"/>
    <w:rsid w:val="00420538"/>
    <w:rsid w:val="00424738"/>
    <w:rsid w:val="00424E58"/>
    <w:rsid w:val="00424FC9"/>
    <w:rsid w:val="004254F3"/>
    <w:rsid w:val="00426A3E"/>
    <w:rsid w:val="00437A46"/>
    <w:rsid w:val="00440FE3"/>
    <w:rsid w:val="004415C0"/>
    <w:rsid w:val="00444DA5"/>
    <w:rsid w:val="00446BC6"/>
    <w:rsid w:val="00446C3C"/>
    <w:rsid w:val="00447A1B"/>
    <w:rsid w:val="004522F1"/>
    <w:rsid w:val="004526A7"/>
    <w:rsid w:val="00453A6B"/>
    <w:rsid w:val="00460C65"/>
    <w:rsid w:val="00461597"/>
    <w:rsid w:val="0046227A"/>
    <w:rsid w:val="004705B4"/>
    <w:rsid w:val="004706F1"/>
    <w:rsid w:val="00475D35"/>
    <w:rsid w:val="00481767"/>
    <w:rsid w:val="00482D81"/>
    <w:rsid w:val="004917E3"/>
    <w:rsid w:val="00493767"/>
    <w:rsid w:val="00494DAE"/>
    <w:rsid w:val="00497956"/>
    <w:rsid w:val="004A16FE"/>
    <w:rsid w:val="004A3BD9"/>
    <w:rsid w:val="004A5474"/>
    <w:rsid w:val="004A5AA5"/>
    <w:rsid w:val="004B0E4B"/>
    <w:rsid w:val="004B36AF"/>
    <w:rsid w:val="004C1278"/>
    <w:rsid w:val="004C13A6"/>
    <w:rsid w:val="004C1845"/>
    <w:rsid w:val="004C1D99"/>
    <w:rsid w:val="004C48B6"/>
    <w:rsid w:val="004D058A"/>
    <w:rsid w:val="004D150A"/>
    <w:rsid w:val="004D6093"/>
    <w:rsid w:val="004D6E99"/>
    <w:rsid w:val="004E3E71"/>
    <w:rsid w:val="004F052B"/>
    <w:rsid w:val="004F2763"/>
    <w:rsid w:val="004F2857"/>
    <w:rsid w:val="00502A48"/>
    <w:rsid w:val="00505DA2"/>
    <w:rsid w:val="00506CD8"/>
    <w:rsid w:val="00506DCE"/>
    <w:rsid w:val="00511A66"/>
    <w:rsid w:val="00516A5C"/>
    <w:rsid w:val="00516B10"/>
    <w:rsid w:val="00516D25"/>
    <w:rsid w:val="00517261"/>
    <w:rsid w:val="005225D9"/>
    <w:rsid w:val="0052329A"/>
    <w:rsid w:val="00525061"/>
    <w:rsid w:val="0052567D"/>
    <w:rsid w:val="00527B6F"/>
    <w:rsid w:val="0053162D"/>
    <w:rsid w:val="00533DE1"/>
    <w:rsid w:val="00534ABA"/>
    <w:rsid w:val="0053669C"/>
    <w:rsid w:val="00540CF2"/>
    <w:rsid w:val="005436FC"/>
    <w:rsid w:val="00553CDE"/>
    <w:rsid w:val="00554990"/>
    <w:rsid w:val="00556A0A"/>
    <w:rsid w:val="00556F25"/>
    <w:rsid w:val="00562CD0"/>
    <w:rsid w:val="005668F6"/>
    <w:rsid w:val="00566946"/>
    <w:rsid w:val="00572187"/>
    <w:rsid w:val="00573B35"/>
    <w:rsid w:val="005764F9"/>
    <w:rsid w:val="00577482"/>
    <w:rsid w:val="0058050E"/>
    <w:rsid w:val="00581DEF"/>
    <w:rsid w:val="00586636"/>
    <w:rsid w:val="00590659"/>
    <w:rsid w:val="005913B0"/>
    <w:rsid w:val="00594559"/>
    <w:rsid w:val="00594F11"/>
    <w:rsid w:val="005968E1"/>
    <w:rsid w:val="0059782F"/>
    <w:rsid w:val="005A069E"/>
    <w:rsid w:val="005A2E1F"/>
    <w:rsid w:val="005A3037"/>
    <w:rsid w:val="005A437D"/>
    <w:rsid w:val="005A585E"/>
    <w:rsid w:val="005B1A80"/>
    <w:rsid w:val="005B200B"/>
    <w:rsid w:val="005B2DAA"/>
    <w:rsid w:val="005B4D43"/>
    <w:rsid w:val="005B6611"/>
    <w:rsid w:val="005C133C"/>
    <w:rsid w:val="005C197D"/>
    <w:rsid w:val="005C2EE7"/>
    <w:rsid w:val="005C4A7C"/>
    <w:rsid w:val="005D1C44"/>
    <w:rsid w:val="005D1D11"/>
    <w:rsid w:val="005D4558"/>
    <w:rsid w:val="005D59AF"/>
    <w:rsid w:val="005D6073"/>
    <w:rsid w:val="005E2758"/>
    <w:rsid w:val="005E36E0"/>
    <w:rsid w:val="005E4650"/>
    <w:rsid w:val="005E5616"/>
    <w:rsid w:val="005E5E16"/>
    <w:rsid w:val="005E60E4"/>
    <w:rsid w:val="005F032D"/>
    <w:rsid w:val="005F4136"/>
    <w:rsid w:val="005F53AF"/>
    <w:rsid w:val="005F59A3"/>
    <w:rsid w:val="005F6A87"/>
    <w:rsid w:val="00601644"/>
    <w:rsid w:val="00602CF8"/>
    <w:rsid w:val="006146C4"/>
    <w:rsid w:val="00614F1C"/>
    <w:rsid w:val="006156CB"/>
    <w:rsid w:val="00615E25"/>
    <w:rsid w:val="00626E95"/>
    <w:rsid w:val="006318A2"/>
    <w:rsid w:val="0063246C"/>
    <w:rsid w:val="00637AC9"/>
    <w:rsid w:val="00640692"/>
    <w:rsid w:val="006413AC"/>
    <w:rsid w:val="006461FB"/>
    <w:rsid w:val="0064740C"/>
    <w:rsid w:val="00650ADA"/>
    <w:rsid w:val="00653730"/>
    <w:rsid w:val="006602D7"/>
    <w:rsid w:val="00662013"/>
    <w:rsid w:val="006624BE"/>
    <w:rsid w:val="00666C52"/>
    <w:rsid w:val="006671F3"/>
    <w:rsid w:val="006722F3"/>
    <w:rsid w:val="00674068"/>
    <w:rsid w:val="006759F1"/>
    <w:rsid w:val="00675C46"/>
    <w:rsid w:val="00676045"/>
    <w:rsid w:val="00676BC7"/>
    <w:rsid w:val="0068228E"/>
    <w:rsid w:val="00682B94"/>
    <w:rsid w:val="00684846"/>
    <w:rsid w:val="00685BFC"/>
    <w:rsid w:val="00686E28"/>
    <w:rsid w:val="00686F4C"/>
    <w:rsid w:val="006876E9"/>
    <w:rsid w:val="00690BF3"/>
    <w:rsid w:val="006910C8"/>
    <w:rsid w:val="00692384"/>
    <w:rsid w:val="00695740"/>
    <w:rsid w:val="0069693D"/>
    <w:rsid w:val="006970ED"/>
    <w:rsid w:val="006972DD"/>
    <w:rsid w:val="006A1E7A"/>
    <w:rsid w:val="006A532B"/>
    <w:rsid w:val="006B21FA"/>
    <w:rsid w:val="006B22AA"/>
    <w:rsid w:val="006B3C27"/>
    <w:rsid w:val="006C4E70"/>
    <w:rsid w:val="006C5A11"/>
    <w:rsid w:val="006C5A6C"/>
    <w:rsid w:val="006C7417"/>
    <w:rsid w:val="006D1C66"/>
    <w:rsid w:val="006D240D"/>
    <w:rsid w:val="006D37EF"/>
    <w:rsid w:val="006E1BF1"/>
    <w:rsid w:val="006E7028"/>
    <w:rsid w:val="006F1368"/>
    <w:rsid w:val="006F397A"/>
    <w:rsid w:val="006F3A51"/>
    <w:rsid w:val="006F761D"/>
    <w:rsid w:val="007068A9"/>
    <w:rsid w:val="00712DDB"/>
    <w:rsid w:val="0072068C"/>
    <w:rsid w:val="00722F8D"/>
    <w:rsid w:val="00724D39"/>
    <w:rsid w:val="0072628C"/>
    <w:rsid w:val="00733C98"/>
    <w:rsid w:val="0074203C"/>
    <w:rsid w:val="0074399D"/>
    <w:rsid w:val="00746231"/>
    <w:rsid w:val="00750ADA"/>
    <w:rsid w:val="007543A4"/>
    <w:rsid w:val="00757496"/>
    <w:rsid w:val="00761288"/>
    <w:rsid w:val="00762661"/>
    <w:rsid w:val="00765AB1"/>
    <w:rsid w:val="00766C16"/>
    <w:rsid w:val="00774C59"/>
    <w:rsid w:val="0077602C"/>
    <w:rsid w:val="00777986"/>
    <w:rsid w:val="007838DD"/>
    <w:rsid w:val="0078573A"/>
    <w:rsid w:val="00786E0B"/>
    <w:rsid w:val="007915B7"/>
    <w:rsid w:val="00792243"/>
    <w:rsid w:val="0079269A"/>
    <w:rsid w:val="00793A13"/>
    <w:rsid w:val="007A0394"/>
    <w:rsid w:val="007A2F67"/>
    <w:rsid w:val="007A5285"/>
    <w:rsid w:val="007A79AA"/>
    <w:rsid w:val="007B0028"/>
    <w:rsid w:val="007B079D"/>
    <w:rsid w:val="007B1DBA"/>
    <w:rsid w:val="007C295F"/>
    <w:rsid w:val="007C3E15"/>
    <w:rsid w:val="007C61D8"/>
    <w:rsid w:val="007D15D8"/>
    <w:rsid w:val="007D17EE"/>
    <w:rsid w:val="007D5B5F"/>
    <w:rsid w:val="007E41D0"/>
    <w:rsid w:val="007F1694"/>
    <w:rsid w:val="007F2003"/>
    <w:rsid w:val="007F73BD"/>
    <w:rsid w:val="00806DF5"/>
    <w:rsid w:val="00813FCA"/>
    <w:rsid w:val="0081694D"/>
    <w:rsid w:val="008271FD"/>
    <w:rsid w:val="0082756B"/>
    <w:rsid w:val="0082761A"/>
    <w:rsid w:val="00832246"/>
    <w:rsid w:val="008344C8"/>
    <w:rsid w:val="00835341"/>
    <w:rsid w:val="00842403"/>
    <w:rsid w:val="00844284"/>
    <w:rsid w:val="008464BD"/>
    <w:rsid w:val="00847E37"/>
    <w:rsid w:val="0085075A"/>
    <w:rsid w:val="008528CF"/>
    <w:rsid w:val="00853E6D"/>
    <w:rsid w:val="008573E2"/>
    <w:rsid w:val="0086023D"/>
    <w:rsid w:val="00860E60"/>
    <w:rsid w:val="0087440F"/>
    <w:rsid w:val="00874B7B"/>
    <w:rsid w:val="0087674F"/>
    <w:rsid w:val="00877F42"/>
    <w:rsid w:val="00882842"/>
    <w:rsid w:val="00883262"/>
    <w:rsid w:val="00883CD7"/>
    <w:rsid w:val="00890D0B"/>
    <w:rsid w:val="008968FA"/>
    <w:rsid w:val="00896FAB"/>
    <w:rsid w:val="008A2B7E"/>
    <w:rsid w:val="008A3F6D"/>
    <w:rsid w:val="008A69BA"/>
    <w:rsid w:val="008A7237"/>
    <w:rsid w:val="008B0642"/>
    <w:rsid w:val="008B30C0"/>
    <w:rsid w:val="008B35D4"/>
    <w:rsid w:val="008B541C"/>
    <w:rsid w:val="008C1361"/>
    <w:rsid w:val="008C43D5"/>
    <w:rsid w:val="008C4A3F"/>
    <w:rsid w:val="008C7E62"/>
    <w:rsid w:val="008D5C5E"/>
    <w:rsid w:val="008E3C8C"/>
    <w:rsid w:val="008E7785"/>
    <w:rsid w:val="008F2BFC"/>
    <w:rsid w:val="008F51D4"/>
    <w:rsid w:val="008F6398"/>
    <w:rsid w:val="009048A8"/>
    <w:rsid w:val="009049D0"/>
    <w:rsid w:val="00904F2A"/>
    <w:rsid w:val="0091117B"/>
    <w:rsid w:val="00913B16"/>
    <w:rsid w:val="009160F1"/>
    <w:rsid w:val="00916EA0"/>
    <w:rsid w:val="0091736B"/>
    <w:rsid w:val="009211B2"/>
    <w:rsid w:val="00933187"/>
    <w:rsid w:val="009332EA"/>
    <w:rsid w:val="00933F34"/>
    <w:rsid w:val="00933FF6"/>
    <w:rsid w:val="0093448C"/>
    <w:rsid w:val="009345E0"/>
    <w:rsid w:val="0093586F"/>
    <w:rsid w:val="0093705A"/>
    <w:rsid w:val="009370E8"/>
    <w:rsid w:val="00937A98"/>
    <w:rsid w:val="00941C71"/>
    <w:rsid w:val="00943F3C"/>
    <w:rsid w:val="00944312"/>
    <w:rsid w:val="00945106"/>
    <w:rsid w:val="00945EF4"/>
    <w:rsid w:val="009471F7"/>
    <w:rsid w:val="009516FA"/>
    <w:rsid w:val="00954F59"/>
    <w:rsid w:val="00955E7E"/>
    <w:rsid w:val="0096002C"/>
    <w:rsid w:val="009708A8"/>
    <w:rsid w:val="0097101B"/>
    <w:rsid w:val="00972779"/>
    <w:rsid w:val="009728FD"/>
    <w:rsid w:val="00973C89"/>
    <w:rsid w:val="00974180"/>
    <w:rsid w:val="009771A0"/>
    <w:rsid w:val="009777A8"/>
    <w:rsid w:val="0098056E"/>
    <w:rsid w:val="0098201B"/>
    <w:rsid w:val="009865EE"/>
    <w:rsid w:val="009A0BB9"/>
    <w:rsid w:val="009A0D3A"/>
    <w:rsid w:val="009A14DB"/>
    <w:rsid w:val="009A2946"/>
    <w:rsid w:val="009A54FC"/>
    <w:rsid w:val="009B0165"/>
    <w:rsid w:val="009B1240"/>
    <w:rsid w:val="009B1707"/>
    <w:rsid w:val="009B2795"/>
    <w:rsid w:val="009B5C80"/>
    <w:rsid w:val="009B6084"/>
    <w:rsid w:val="009B7412"/>
    <w:rsid w:val="009C0874"/>
    <w:rsid w:val="009C396C"/>
    <w:rsid w:val="009C67F1"/>
    <w:rsid w:val="009C7E4F"/>
    <w:rsid w:val="009D0F12"/>
    <w:rsid w:val="009D2614"/>
    <w:rsid w:val="009D4F78"/>
    <w:rsid w:val="009E08F8"/>
    <w:rsid w:val="009E1DFE"/>
    <w:rsid w:val="009E2AE2"/>
    <w:rsid w:val="009E4754"/>
    <w:rsid w:val="009E49B2"/>
    <w:rsid w:val="009E5313"/>
    <w:rsid w:val="009E6082"/>
    <w:rsid w:val="009E72F2"/>
    <w:rsid w:val="009F030F"/>
    <w:rsid w:val="009F55D7"/>
    <w:rsid w:val="00A04CAC"/>
    <w:rsid w:val="00A07EA4"/>
    <w:rsid w:val="00A12908"/>
    <w:rsid w:val="00A16AF2"/>
    <w:rsid w:val="00A17DB8"/>
    <w:rsid w:val="00A219BB"/>
    <w:rsid w:val="00A25DDA"/>
    <w:rsid w:val="00A2674C"/>
    <w:rsid w:val="00A27D56"/>
    <w:rsid w:val="00A301E8"/>
    <w:rsid w:val="00A336D8"/>
    <w:rsid w:val="00A33CFB"/>
    <w:rsid w:val="00A40C78"/>
    <w:rsid w:val="00A47C1C"/>
    <w:rsid w:val="00A50024"/>
    <w:rsid w:val="00A52162"/>
    <w:rsid w:val="00A5224A"/>
    <w:rsid w:val="00A5606B"/>
    <w:rsid w:val="00A62E33"/>
    <w:rsid w:val="00A63A7C"/>
    <w:rsid w:val="00A70D73"/>
    <w:rsid w:val="00A77489"/>
    <w:rsid w:val="00A85A43"/>
    <w:rsid w:val="00A911FB"/>
    <w:rsid w:val="00A92AB5"/>
    <w:rsid w:val="00A93D13"/>
    <w:rsid w:val="00A94B10"/>
    <w:rsid w:val="00A96329"/>
    <w:rsid w:val="00AA1544"/>
    <w:rsid w:val="00AA1D56"/>
    <w:rsid w:val="00AA5824"/>
    <w:rsid w:val="00AA7829"/>
    <w:rsid w:val="00AA79E7"/>
    <w:rsid w:val="00AB23FA"/>
    <w:rsid w:val="00AB3027"/>
    <w:rsid w:val="00AC3466"/>
    <w:rsid w:val="00AC4D5D"/>
    <w:rsid w:val="00AC7481"/>
    <w:rsid w:val="00AD26B8"/>
    <w:rsid w:val="00AD30E4"/>
    <w:rsid w:val="00AD3F53"/>
    <w:rsid w:val="00AD6EB4"/>
    <w:rsid w:val="00AE05AE"/>
    <w:rsid w:val="00AE097F"/>
    <w:rsid w:val="00AE36D2"/>
    <w:rsid w:val="00AE3BEC"/>
    <w:rsid w:val="00AE4852"/>
    <w:rsid w:val="00AE5AE1"/>
    <w:rsid w:val="00AF0B13"/>
    <w:rsid w:val="00AF1490"/>
    <w:rsid w:val="00AF2031"/>
    <w:rsid w:val="00AF3C68"/>
    <w:rsid w:val="00B029A8"/>
    <w:rsid w:val="00B07A2D"/>
    <w:rsid w:val="00B10BEA"/>
    <w:rsid w:val="00B11942"/>
    <w:rsid w:val="00B21A66"/>
    <w:rsid w:val="00B228CC"/>
    <w:rsid w:val="00B23161"/>
    <w:rsid w:val="00B2377E"/>
    <w:rsid w:val="00B304C8"/>
    <w:rsid w:val="00B31052"/>
    <w:rsid w:val="00B32819"/>
    <w:rsid w:val="00B34510"/>
    <w:rsid w:val="00B408B7"/>
    <w:rsid w:val="00B41387"/>
    <w:rsid w:val="00B42F18"/>
    <w:rsid w:val="00B4366C"/>
    <w:rsid w:val="00B4735A"/>
    <w:rsid w:val="00B50DE3"/>
    <w:rsid w:val="00B512CF"/>
    <w:rsid w:val="00B54259"/>
    <w:rsid w:val="00B5504B"/>
    <w:rsid w:val="00B55CF8"/>
    <w:rsid w:val="00B57AB9"/>
    <w:rsid w:val="00B63D0E"/>
    <w:rsid w:val="00B70655"/>
    <w:rsid w:val="00B71309"/>
    <w:rsid w:val="00B71537"/>
    <w:rsid w:val="00B72004"/>
    <w:rsid w:val="00B7517A"/>
    <w:rsid w:val="00B84352"/>
    <w:rsid w:val="00B86324"/>
    <w:rsid w:val="00B87E18"/>
    <w:rsid w:val="00B90C05"/>
    <w:rsid w:val="00B924F5"/>
    <w:rsid w:val="00B92E57"/>
    <w:rsid w:val="00B96CFC"/>
    <w:rsid w:val="00BA1948"/>
    <w:rsid w:val="00BA2BF3"/>
    <w:rsid w:val="00BA492F"/>
    <w:rsid w:val="00BA5E92"/>
    <w:rsid w:val="00BB0A33"/>
    <w:rsid w:val="00BB147D"/>
    <w:rsid w:val="00BB2FD3"/>
    <w:rsid w:val="00BB3A73"/>
    <w:rsid w:val="00BB65B0"/>
    <w:rsid w:val="00BB6A4B"/>
    <w:rsid w:val="00BC10F7"/>
    <w:rsid w:val="00BC111E"/>
    <w:rsid w:val="00BC2AEB"/>
    <w:rsid w:val="00BC2D25"/>
    <w:rsid w:val="00BC3FFF"/>
    <w:rsid w:val="00BC7B6F"/>
    <w:rsid w:val="00BD0B32"/>
    <w:rsid w:val="00BD1FEF"/>
    <w:rsid w:val="00BD30B5"/>
    <w:rsid w:val="00BD33B0"/>
    <w:rsid w:val="00BD632C"/>
    <w:rsid w:val="00BD65FF"/>
    <w:rsid w:val="00BE3428"/>
    <w:rsid w:val="00BE3432"/>
    <w:rsid w:val="00BE509E"/>
    <w:rsid w:val="00BF01F9"/>
    <w:rsid w:val="00BF0326"/>
    <w:rsid w:val="00BF527B"/>
    <w:rsid w:val="00C007D2"/>
    <w:rsid w:val="00C04B77"/>
    <w:rsid w:val="00C058B2"/>
    <w:rsid w:val="00C071D7"/>
    <w:rsid w:val="00C10F01"/>
    <w:rsid w:val="00C11F78"/>
    <w:rsid w:val="00C148D7"/>
    <w:rsid w:val="00C14AC0"/>
    <w:rsid w:val="00C25A75"/>
    <w:rsid w:val="00C3113A"/>
    <w:rsid w:val="00C32AB9"/>
    <w:rsid w:val="00C353D4"/>
    <w:rsid w:val="00C35EAE"/>
    <w:rsid w:val="00C36F6E"/>
    <w:rsid w:val="00C37CAC"/>
    <w:rsid w:val="00C40EC5"/>
    <w:rsid w:val="00C47590"/>
    <w:rsid w:val="00C47BBC"/>
    <w:rsid w:val="00C51116"/>
    <w:rsid w:val="00C514A9"/>
    <w:rsid w:val="00C5630B"/>
    <w:rsid w:val="00C570FD"/>
    <w:rsid w:val="00C65EAE"/>
    <w:rsid w:val="00C65FFD"/>
    <w:rsid w:val="00C66462"/>
    <w:rsid w:val="00C665CA"/>
    <w:rsid w:val="00C6723A"/>
    <w:rsid w:val="00C70ECD"/>
    <w:rsid w:val="00C71C1B"/>
    <w:rsid w:val="00C74C78"/>
    <w:rsid w:val="00C75196"/>
    <w:rsid w:val="00C84EB3"/>
    <w:rsid w:val="00C90D65"/>
    <w:rsid w:val="00C91E2B"/>
    <w:rsid w:val="00C92C86"/>
    <w:rsid w:val="00CA4124"/>
    <w:rsid w:val="00CA4853"/>
    <w:rsid w:val="00CA48E9"/>
    <w:rsid w:val="00CA7261"/>
    <w:rsid w:val="00CA7C2D"/>
    <w:rsid w:val="00CB6723"/>
    <w:rsid w:val="00CB6B7F"/>
    <w:rsid w:val="00CB7371"/>
    <w:rsid w:val="00CC00FA"/>
    <w:rsid w:val="00CC0780"/>
    <w:rsid w:val="00CD0A22"/>
    <w:rsid w:val="00CD1B19"/>
    <w:rsid w:val="00CD6891"/>
    <w:rsid w:val="00CD68F5"/>
    <w:rsid w:val="00CE01E6"/>
    <w:rsid w:val="00CE3779"/>
    <w:rsid w:val="00CE46DF"/>
    <w:rsid w:val="00CE5801"/>
    <w:rsid w:val="00CE6C95"/>
    <w:rsid w:val="00CE7E84"/>
    <w:rsid w:val="00CF11E4"/>
    <w:rsid w:val="00CF1771"/>
    <w:rsid w:val="00CF611D"/>
    <w:rsid w:val="00D01037"/>
    <w:rsid w:val="00D055D7"/>
    <w:rsid w:val="00D13946"/>
    <w:rsid w:val="00D14DDD"/>
    <w:rsid w:val="00D17CE4"/>
    <w:rsid w:val="00D239A7"/>
    <w:rsid w:val="00D30D89"/>
    <w:rsid w:val="00D321C9"/>
    <w:rsid w:val="00D33DD1"/>
    <w:rsid w:val="00D4088F"/>
    <w:rsid w:val="00D42FC8"/>
    <w:rsid w:val="00D47805"/>
    <w:rsid w:val="00D5389C"/>
    <w:rsid w:val="00D61045"/>
    <w:rsid w:val="00D6194F"/>
    <w:rsid w:val="00D63140"/>
    <w:rsid w:val="00D75ACE"/>
    <w:rsid w:val="00D84FE3"/>
    <w:rsid w:val="00D865D8"/>
    <w:rsid w:val="00D869F8"/>
    <w:rsid w:val="00D87EC5"/>
    <w:rsid w:val="00D907F1"/>
    <w:rsid w:val="00D93B19"/>
    <w:rsid w:val="00D94BAA"/>
    <w:rsid w:val="00D95A39"/>
    <w:rsid w:val="00D95E6F"/>
    <w:rsid w:val="00D9681F"/>
    <w:rsid w:val="00D96945"/>
    <w:rsid w:val="00D96DA5"/>
    <w:rsid w:val="00DA0257"/>
    <w:rsid w:val="00DA0311"/>
    <w:rsid w:val="00DA1FE3"/>
    <w:rsid w:val="00DA2D39"/>
    <w:rsid w:val="00DA3306"/>
    <w:rsid w:val="00DA478F"/>
    <w:rsid w:val="00DA5B93"/>
    <w:rsid w:val="00DB4EDA"/>
    <w:rsid w:val="00DB7D4C"/>
    <w:rsid w:val="00DC188B"/>
    <w:rsid w:val="00DC3440"/>
    <w:rsid w:val="00DC4135"/>
    <w:rsid w:val="00DC4831"/>
    <w:rsid w:val="00DC4848"/>
    <w:rsid w:val="00DC53CF"/>
    <w:rsid w:val="00DC7436"/>
    <w:rsid w:val="00DD2998"/>
    <w:rsid w:val="00DE00FD"/>
    <w:rsid w:val="00DE5CD6"/>
    <w:rsid w:val="00DE5E03"/>
    <w:rsid w:val="00DF2B43"/>
    <w:rsid w:val="00DF7A37"/>
    <w:rsid w:val="00E0055C"/>
    <w:rsid w:val="00E01811"/>
    <w:rsid w:val="00E043D1"/>
    <w:rsid w:val="00E06651"/>
    <w:rsid w:val="00E06C1E"/>
    <w:rsid w:val="00E1040B"/>
    <w:rsid w:val="00E12CE5"/>
    <w:rsid w:val="00E16DF1"/>
    <w:rsid w:val="00E16E0A"/>
    <w:rsid w:val="00E16F06"/>
    <w:rsid w:val="00E22016"/>
    <w:rsid w:val="00E26BFA"/>
    <w:rsid w:val="00E27108"/>
    <w:rsid w:val="00E3046E"/>
    <w:rsid w:val="00E30CC7"/>
    <w:rsid w:val="00E32469"/>
    <w:rsid w:val="00E32A54"/>
    <w:rsid w:val="00E3317B"/>
    <w:rsid w:val="00E3608E"/>
    <w:rsid w:val="00E371F4"/>
    <w:rsid w:val="00E44333"/>
    <w:rsid w:val="00E4490B"/>
    <w:rsid w:val="00E4549A"/>
    <w:rsid w:val="00E51999"/>
    <w:rsid w:val="00E52233"/>
    <w:rsid w:val="00E607AA"/>
    <w:rsid w:val="00E621C1"/>
    <w:rsid w:val="00E63FEC"/>
    <w:rsid w:val="00E64DDB"/>
    <w:rsid w:val="00E65797"/>
    <w:rsid w:val="00E66533"/>
    <w:rsid w:val="00E6794C"/>
    <w:rsid w:val="00E777B4"/>
    <w:rsid w:val="00E779D3"/>
    <w:rsid w:val="00E85342"/>
    <w:rsid w:val="00E900D4"/>
    <w:rsid w:val="00E90B86"/>
    <w:rsid w:val="00E912AF"/>
    <w:rsid w:val="00E95A43"/>
    <w:rsid w:val="00E96DBA"/>
    <w:rsid w:val="00E97E97"/>
    <w:rsid w:val="00EA0302"/>
    <w:rsid w:val="00EA1A49"/>
    <w:rsid w:val="00EA2305"/>
    <w:rsid w:val="00EB05E4"/>
    <w:rsid w:val="00EB0CB6"/>
    <w:rsid w:val="00EB0EA5"/>
    <w:rsid w:val="00EB1D90"/>
    <w:rsid w:val="00EB3368"/>
    <w:rsid w:val="00EB51B3"/>
    <w:rsid w:val="00EC119A"/>
    <w:rsid w:val="00EC4384"/>
    <w:rsid w:val="00EC6A5D"/>
    <w:rsid w:val="00EC771E"/>
    <w:rsid w:val="00ED00F4"/>
    <w:rsid w:val="00ED070B"/>
    <w:rsid w:val="00ED0C83"/>
    <w:rsid w:val="00ED2F5D"/>
    <w:rsid w:val="00ED7C21"/>
    <w:rsid w:val="00EE384F"/>
    <w:rsid w:val="00EF4576"/>
    <w:rsid w:val="00EF5793"/>
    <w:rsid w:val="00EF6CB2"/>
    <w:rsid w:val="00F01D52"/>
    <w:rsid w:val="00F02731"/>
    <w:rsid w:val="00F06C3F"/>
    <w:rsid w:val="00F06D27"/>
    <w:rsid w:val="00F0748A"/>
    <w:rsid w:val="00F1121A"/>
    <w:rsid w:val="00F11296"/>
    <w:rsid w:val="00F11E23"/>
    <w:rsid w:val="00F1261F"/>
    <w:rsid w:val="00F1444C"/>
    <w:rsid w:val="00F2166B"/>
    <w:rsid w:val="00F21781"/>
    <w:rsid w:val="00F26DF6"/>
    <w:rsid w:val="00F313CC"/>
    <w:rsid w:val="00F31798"/>
    <w:rsid w:val="00F32267"/>
    <w:rsid w:val="00F349AD"/>
    <w:rsid w:val="00F35770"/>
    <w:rsid w:val="00F400AF"/>
    <w:rsid w:val="00F43259"/>
    <w:rsid w:val="00F45FA7"/>
    <w:rsid w:val="00F46A9B"/>
    <w:rsid w:val="00F46D23"/>
    <w:rsid w:val="00F47FE1"/>
    <w:rsid w:val="00F500A5"/>
    <w:rsid w:val="00F50482"/>
    <w:rsid w:val="00F50658"/>
    <w:rsid w:val="00F5101F"/>
    <w:rsid w:val="00F52124"/>
    <w:rsid w:val="00F5546D"/>
    <w:rsid w:val="00F61836"/>
    <w:rsid w:val="00F65C5F"/>
    <w:rsid w:val="00F73EEF"/>
    <w:rsid w:val="00F741B3"/>
    <w:rsid w:val="00F805C8"/>
    <w:rsid w:val="00F812E3"/>
    <w:rsid w:val="00F819C8"/>
    <w:rsid w:val="00F8498C"/>
    <w:rsid w:val="00F9061D"/>
    <w:rsid w:val="00F91744"/>
    <w:rsid w:val="00F934D7"/>
    <w:rsid w:val="00F9361B"/>
    <w:rsid w:val="00F95766"/>
    <w:rsid w:val="00F977C9"/>
    <w:rsid w:val="00FA13F2"/>
    <w:rsid w:val="00FA19E7"/>
    <w:rsid w:val="00FA1C6F"/>
    <w:rsid w:val="00FB0F64"/>
    <w:rsid w:val="00FB5839"/>
    <w:rsid w:val="00FC211B"/>
    <w:rsid w:val="00FC6164"/>
    <w:rsid w:val="00FC61E3"/>
    <w:rsid w:val="00FC7725"/>
    <w:rsid w:val="00FD22AB"/>
    <w:rsid w:val="00FD3244"/>
    <w:rsid w:val="00FD7321"/>
    <w:rsid w:val="00FD7B98"/>
    <w:rsid w:val="00FD7CDD"/>
    <w:rsid w:val="00FE1729"/>
    <w:rsid w:val="00FE500E"/>
    <w:rsid w:val="00FE76FA"/>
    <w:rsid w:val="00FE7F8A"/>
    <w:rsid w:val="00FF0511"/>
    <w:rsid w:val="00FF3B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C73DA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11D"/>
    <w:rPr>
      <w:rFonts w:ascii="Times New Roman" w:eastAsia="Times New Roman" w:hAnsi="Times New Roman"/>
      <w:sz w:val="24"/>
      <w:szCs w:val="24"/>
      <w:lang w:eastAsia="en-US"/>
    </w:rPr>
  </w:style>
  <w:style w:type="paragraph" w:styleId="Naslov1">
    <w:name w:val="heading 1"/>
    <w:basedOn w:val="Normal"/>
    <w:next w:val="Normal"/>
    <w:link w:val="Naslov1Char"/>
    <w:uiPriority w:val="9"/>
    <w:qFormat/>
    <w:rsid w:val="00C6723A"/>
    <w:pPr>
      <w:keepNext/>
      <w:keepLines/>
      <w:spacing w:before="480"/>
      <w:outlineLvl w:val="0"/>
    </w:pPr>
    <w:rPr>
      <w:rFonts w:ascii="Cambria" w:hAnsi="Cambria"/>
      <w:b/>
      <w:bCs/>
      <w:color w:val="365F91"/>
      <w:sz w:val="28"/>
      <w:szCs w:val="28"/>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30D89"/>
    <w:pPr>
      <w:tabs>
        <w:tab w:val="center" w:pos="4536"/>
        <w:tab w:val="right" w:pos="9072"/>
      </w:tabs>
    </w:pPr>
  </w:style>
  <w:style w:type="character" w:customStyle="1" w:styleId="ZaglavljeChar">
    <w:name w:val="Zaglavlje Char"/>
    <w:basedOn w:val="Zadanifontodlomka"/>
    <w:link w:val="Zaglavlje"/>
    <w:uiPriority w:val="99"/>
    <w:rsid w:val="00D30D89"/>
  </w:style>
  <w:style w:type="paragraph" w:styleId="Podnoje">
    <w:name w:val="footer"/>
    <w:basedOn w:val="Normal"/>
    <w:link w:val="PodnojeChar"/>
    <w:unhideWhenUsed/>
    <w:rsid w:val="00D30D89"/>
    <w:pPr>
      <w:tabs>
        <w:tab w:val="center" w:pos="4536"/>
        <w:tab w:val="right" w:pos="9072"/>
      </w:tabs>
    </w:pPr>
  </w:style>
  <w:style w:type="character" w:customStyle="1" w:styleId="PodnojeChar">
    <w:name w:val="Podnožje Char"/>
    <w:basedOn w:val="Zadanifontodlomka"/>
    <w:link w:val="Podnoje"/>
    <w:rsid w:val="00D30D89"/>
  </w:style>
  <w:style w:type="paragraph" w:styleId="Tekstbalonia">
    <w:name w:val="Balloon Text"/>
    <w:basedOn w:val="Normal"/>
    <w:link w:val="TekstbaloniaChar"/>
    <w:uiPriority w:val="99"/>
    <w:semiHidden/>
    <w:unhideWhenUsed/>
    <w:rsid w:val="00D30D89"/>
    <w:rPr>
      <w:rFonts w:ascii="Tahoma" w:eastAsia="Calibri" w:hAnsi="Tahoma"/>
      <w:sz w:val="16"/>
      <w:szCs w:val="16"/>
      <w:lang w:val="x-none" w:eastAsia="x-none"/>
    </w:rPr>
  </w:style>
  <w:style w:type="character" w:customStyle="1" w:styleId="TekstbaloniaChar">
    <w:name w:val="Tekst balončića Char"/>
    <w:link w:val="Tekstbalonia"/>
    <w:uiPriority w:val="99"/>
    <w:semiHidden/>
    <w:rsid w:val="00D30D89"/>
    <w:rPr>
      <w:rFonts w:ascii="Tahoma" w:hAnsi="Tahoma" w:cs="Tahoma"/>
      <w:sz w:val="16"/>
      <w:szCs w:val="16"/>
    </w:rPr>
  </w:style>
  <w:style w:type="character" w:customStyle="1" w:styleId="Naslov1Char">
    <w:name w:val="Naslov 1 Char"/>
    <w:link w:val="Naslov1"/>
    <w:uiPriority w:val="9"/>
    <w:rsid w:val="00C6723A"/>
    <w:rPr>
      <w:rFonts w:ascii="Cambria" w:eastAsia="Times New Roman" w:hAnsi="Cambria" w:cs="Times New Roman"/>
      <w:b/>
      <w:bCs/>
      <w:color w:val="365F91"/>
      <w:sz w:val="28"/>
      <w:szCs w:val="28"/>
    </w:rPr>
  </w:style>
  <w:style w:type="paragraph" w:styleId="Bezproreda">
    <w:name w:val="No Spacing"/>
    <w:uiPriority w:val="1"/>
    <w:qFormat/>
    <w:rsid w:val="006D1C66"/>
    <w:rPr>
      <w:sz w:val="22"/>
      <w:szCs w:val="22"/>
      <w:lang w:eastAsia="en-US"/>
    </w:rPr>
  </w:style>
  <w:style w:type="paragraph" w:styleId="HTMLunaprijedoblikovano">
    <w:name w:val="HTML Preformatted"/>
    <w:basedOn w:val="Normal"/>
    <w:link w:val="HTMLunaprijedoblikovanoChar"/>
    <w:uiPriority w:val="99"/>
    <w:unhideWhenUsed/>
    <w:rsid w:val="00CF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unaprijedoblikovanoChar">
    <w:name w:val="HTML unaprijed oblikovano Char"/>
    <w:link w:val="HTMLunaprijedoblikovano"/>
    <w:uiPriority w:val="99"/>
    <w:rsid w:val="00CF611D"/>
    <w:rPr>
      <w:rFonts w:ascii="Courier New" w:eastAsia="Times New Roman" w:hAnsi="Courier New" w:cs="Courier New"/>
      <w:color w:val="000000"/>
    </w:rPr>
  </w:style>
  <w:style w:type="paragraph" w:customStyle="1" w:styleId="Default">
    <w:name w:val="Default"/>
    <w:rsid w:val="00653730"/>
    <w:pPr>
      <w:autoSpaceDE w:val="0"/>
      <w:autoSpaceDN w:val="0"/>
      <w:adjustRightInd w:val="0"/>
    </w:pPr>
    <w:rPr>
      <w:rFonts w:ascii="Times New Roman" w:hAnsi="Times New Roman"/>
      <w:color w:val="000000"/>
      <w:sz w:val="24"/>
      <w:szCs w:val="24"/>
    </w:rPr>
  </w:style>
  <w:style w:type="table" w:styleId="Reetkatablice">
    <w:name w:val="Table Grid"/>
    <w:basedOn w:val="Obinatablica"/>
    <w:uiPriority w:val="39"/>
    <w:rsid w:val="00C5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A0311"/>
    <w:pPr>
      <w:spacing w:after="160" w:line="259" w:lineRule="auto"/>
      <w:ind w:left="720"/>
      <w:contextualSpacing/>
    </w:pPr>
    <w:rPr>
      <w:rFonts w:ascii="Calibri" w:eastAsia="Calibri" w:hAnsi="Calibri"/>
      <w:sz w:val="22"/>
      <w:szCs w:val="22"/>
    </w:rPr>
  </w:style>
  <w:style w:type="character" w:styleId="Hiperveza">
    <w:name w:val="Hyperlink"/>
    <w:uiPriority w:val="99"/>
    <w:unhideWhenUsed/>
    <w:rsid w:val="00DA0311"/>
    <w:rPr>
      <w:color w:val="0563C1"/>
      <w:u w:val="single"/>
    </w:rPr>
  </w:style>
  <w:style w:type="paragraph" w:styleId="Opisslike">
    <w:name w:val="caption"/>
    <w:basedOn w:val="Normal"/>
    <w:next w:val="Normal"/>
    <w:uiPriority w:val="35"/>
    <w:unhideWhenUsed/>
    <w:qFormat/>
    <w:rsid w:val="009B6084"/>
    <w:pPr>
      <w:spacing w:after="200"/>
    </w:pPr>
    <w:rPr>
      <w:i/>
      <w:iCs/>
      <w:color w:val="44546A" w:themeColor="text2"/>
      <w:sz w:val="18"/>
      <w:szCs w:val="18"/>
    </w:rPr>
  </w:style>
  <w:style w:type="character" w:styleId="Nerijeenospominjanje">
    <w:name w:val="Unresolved Mention"/>
    <w:basedOn w:val="Zadanifontodlomka"/>
    <w:uiPriority w:val="99"/>
    <w:semiHidden/>
    <w:unhideWhenUsed/>
    <w:rsid w:val="008F2BFC"/>
    <w:rPr>
      <w:color w:val="605E5C"/>
      <w:shd w:val="clear" w:color="auto" w:fill="E1DFDD"/>
    </w:rPr>
  </w:style>
  <w:style w:type="character" w:styleId="SlijeenaHiperveza">
    <w:name w:val="FollowedHyperlink"/>
    <w:basedOn w:val="Zadanifontodlomka"/>
    <w:uiPriority w:val="99"/>
    <w:semiHidden/>
    <w:unhideWhenUsed/>
    <w:rsid w:val="00E01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40721">
      <w:bodyDiv w:val="1"/>
      <w:marLeft w:val="0"/>
      <w:marRight w:val="0"/>
      <w:marTop w:val="0"/>
      <w:marBottom w:val="0"/>
      <w:divBdr>
        <w:top w:val="none" w:sz="0" w:space="0" w:color="auto"/>
        <w:left w:val="none" w:sz="0" w:space="0" w:color="auto"/>
        <w:bottom w:val="none" w:sz="0" w:space="0" w:color="auto"/>
        <w:right w:val="none" w:sz="0" w:space="0" w:color="auto"/>
      </w:divBdr>
    </w:div>
    <w:div w:id="1661500512">
      <w:bodyDiv w:val="1"/>
      <w:marLeft w:val="0"/>
      <w:marRight w:val="0"/>
      <w:marTop w:val="0"/>
      <w:marBottom w:val="0"/>
      <w:divBdr>
        <w:top w:val="none" w:sz="0" w:space="0" w:color="auto"/>
        <w:left w:val="none" w:sz="0" w:space="0" w:color="auto"/>
        <w:bottom w:val="none" w:sz="0" w:space="0" w:color="auto"/>
        <w:right w:val="none" w:sz="0" w:space="0" w:color="auto"/>
      </w:divBdr>
    </w:div>
    <w:div w:id="1951204446">
      <w:bodyDiv w:val="1"/>
      <w:marLeft w:val="0"/>
      <w:marRight w:val="0"/>
      <w:marTop w:val="0"/>
      <w:marBottom w:val="0"/>
      <w:divBdr>
        <w:top w:val="none" w:sz="0" w:space="0" w:color="auto"/>
        <w:left w:val="none" w:sz="0" w:space="0" w:color="auto"/>
        <w:bottom w:val="none" w:sz="0" w:space="0" w:color="auto"/>
        <w:right w:val="none" w:sz="0" w:space="0" w:color="auto"/>
      </w:divBdr>
    </w:div>
    <w:div w:id="20159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oleObject" Target="embeddings/oleObject2.bin"/><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ica\Downloads\GFV55%20predlo&#382;ak%202024%20(HR)%20ePotpis%20(6).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55739C-A4C7-42A5-8492-BBF433ED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GFV55 predložak 2024 (HR) ePotpis (6)</Template>
  <TotalTime>0</TotalTime>
  <Pages>3</Pages>
  <Words>1137</Words>
  <Characters>6481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7603</CharactersWithSpaces>
  <SharedDoc>false</SharedDoc>
  <HLinks>
    <vt:vector size="6" baseType="variant">
      <vt:variant>
        <vt:i4>8192095</vt:i4>
      </vt:variant>
      <vt:variant>
        <vt:i4>0</vt:i4>
      </vt:variant>
      <vt:variant>
        <vt:i4>0</vt:i4>
      </vt:variant>
      <vt:variant>
        <vt:i4>5</vt:i4>
      </vt:variant>
      <vt:variant>
        <vt:lpwstr>mailto:mzidar@gfv.hr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2024-10-02T11:33:00Z</dcterms:created>
  <dcterms:modified xsi:type="dcterms:W3CDTF">2024-12-12T06:54:00Z</dcterms:modified>
</cp:coreProperties>
</file>